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AAB9B4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阿图什市人民政府合作交流中心2024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62B6E7">
      <w:r>
        <w:br w:type="page"/>
      </w:r>
    </w:p>
    <w:p w14:paraId="2324BC2A">
      <w:pPr>
        <w:spacing w:line="640" w:lineRule="exact"/>
        <w:jc w:val="center"/>
        <w:outlineLvl w:val="1"/>
      </w:pPr>
      <w:r>
        <w:rPr>
          <w:rFonts w:ascii="黑体" w:hAnsi="黑体" w:eastAsia="黑体"/>
          <w:sz w:val="32"/>
        </w:rPr>
        <w:t>第一部分 单位概况</w:t>
      </w:r>
    </w:p>
    <w:p w14:paraId="6631FA6D">
      <w:pPr>
        <w:spacing w:line="640" w:lineRule="exact"/>
        <w:ind w:firstLine="640"/>
        <w:jc w:val="both"/>
        <w:outlineLvl w:val="2"/>
      </w:pPr>
      <w:r>
        <w:rPr>
          <w:rFonts w:ascii="黑体" w:hAnsi="黑体" w:eastAsia="黑体"/>
          <w:sz w:val="32"/>
        </w:rPr>
        <w:t>一、主要职能</w:t>
      </w:r>
    </w:p>
    <w:p w14:paraId="1A1B3236">
      <w:pPr>
        <w:spacing w:line="580" w:lineRule="exact"/>
        <w:ind w:firstLine="640"/>
        <w:jc w:val="both"/>
      </w:pPr>
      <w:r>
        <w:rPr>
          <w:rFonts w:ascii="仿宋_GB2312" w:hAnsi="仿宋_GB2312" w:eastAsia="仿宋_GB2312"/>
          <w:sz w:val="32"/>
        </w:rPr>
        <w:t>贯彻执行国家、自治区、自治州及阿图什市有关加快经济高质量发展、对口支援和对口合作工作的战略、方针和政策及法律法规和规章等，落实阿图什市合作交流工作的安排部署；负责来市的外省、市、区以及自治区、兄弟县市领导干部的考察、调研和检查指导等公务活动的协调和接待工作；负责做好阿图什市委、人民政府领导外出考察的相关协调和后勤服务保障工作；根据相关单位报送的接待方案制定相应的接待工作方案，填写接待报告单报相关领导签批后进行接待；负责管理阿图什市接待费用；严格遵守中央八项规定；自治区、自治州、阿图什市十项规定，以及自治区公务接待相关规定；做好接待费用开支核报工作，对于提出不合理要求的接待有权拒绝；负责各项接待任务的联系、登记和信息统计汇总工作；负责完成好党委、政府领导交办的其他临时性工作。</w:t>
      </w:r>
    </w:p>
    <w:p w14:paraId="6DE3CE4D">
      <w:pPr>
        <w:spacing w:line="640" w:lineRule="exact"/>
        <w:ind w:firstLine="640"/>
        <w:jc w:val="both"/>
        <w:outlineLvl w:val="2"/>
      </w:pPr>
      <w:r>
        <w:rPr>
          <w:rFonts w:ascii="黑体" w:hAnsi="黑体" w:eastAsia="黑体"/>
          <w:sz w:val="32"/>
        </w:rPr>
        <w:t>二、机构设置及人员情况</w:t>
      </w:r>
    </w:p>
    <w:p w14:paraId="7FFC0E61">
      <w:pPr>
        <w:spacing w:line="580" w:lineRule="exact"/>
        <w:ind w:firstLine="640"/>
        <w:jc w:val="both"/>
      </w:pPr>
      <w:r>
        <w:rPr>
          <w:rFonts w:ascii="仿宋_GB2312" w:hAnsi="仿宋_GB2312" w:eastAsia="仿宋_GB2312"/>
          <w:sz w:val="32"/>
        </w:rPr>
        <w:t>阿图什市人民政府合作交流中心2024年度，实有人数3人，其中：在职人员3人，增加1人；离休人员0人，增加0人；退休人员0人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20E4560F">
      <w:pPr>
        <w:spacing w:line="580" w:lineRule="exact"/>
        <w:ind w:firstLine="640"/>
        <w:jc w:val="both"/>
      </w:pPr>
      <w:r>
        <w:rPr>
          <w:rFonts w:ascii="仿宋_GB2312" w:hAnsi="仿宋_GB2312" w:eastAsia="仿宋_GB2312"/>
          <w:sz w:val="32"/>
        </w:rPr>
        <w:t>阿图什市人民政府合作交流中心无下属预算单位，下设1个科室，分别是：办公室。</w:t>
      </w:r>
    </w:p>
    <w:p w14:paraId="6B42E44C">
      <w:r>
        <w:br w:type="page"/>
      </w:r>
    </w:p>
    <w:p w14:paraId="7F096785">
      <w:pPr>
        <w:spacing w:line="240" w:lineRule="auto"/>
        <w:jc w:val="center"/>
        <w:outlineLvl w:val="1"/>
      </w:pPr>
      <w:r>
        <w:rPr>
          <w:rFonts w:ascii="黑体" w:hAnsi="黑体" w:eastAsia="黑体"/>
          <w:sz w:val="32"/>
        </w:rPr>
        <w:t>第二部分 部门决算情况说明</w:t>
      </w:r>
    </w:p>
    <w:p w14:paraId="0A4E0848">
      <w:pPr>
        <w:spacing w:line="640" w:lineRule="exact"/>
        <w:ind w:firstLine="640"/>
        <w:jc w:val="both"/>
        <w:outlineLvl w:val="2"/>
      </w:pPr>
      <w:r>
        <w:rPr>
          <w:rFonts w:ascii="黑体" w:hAnsi="黑体" w:eastAsia="黑体"/>
          <w:sz w:val="32"/>
        </w:rPr>
        <w:t>一、收入支出决算总体情况说明</w:t>
      </w:r>
    </w:p>
    <w:p w14:paraId="1CC6568A">
      <w:pPr>
        <w:spacing w:line="580" w:lineRule="exact"/>
        <w:ind w:firstLine="640"/>
        <w:jc w:val="both"/>
      </w:pPr>
      <w:r>
        <w:rPr>
          <w:rFonts w:ascii="仿宋_GB2312" w:hAnsi="仿宋_GB2312" w:eastAsia="仿宋_GB2312"/>
          <w:b/>
          <w:sz w:val="32"/>
        </w:rPr>
        <w:t>2024年度收入总计132.55万元，</w:t>
      </w:r>
      <w:r>
        <w:rPr>
          <w:rFonts w:ascii="仿宋_GB2312" w:hAnsi="仿宋_GB2312" w:eastAsia="仿宋_GB2312"/>
          <w:b w:val="0"/>
          <w:sz w:val="32"/>
        </w:rPr>
        <w:t>其中：本年收入合计127.65万元，使用非财政拨款结余（含专用结余）0.00万元，年初结转和结余4.90万元。</w:t>
      </w:r>
    </w:p>
    <w:p w14:paraId="51F378EE">
      <w:pPr>
        <w:spacing w:line="580" w:lineRule="exact"/>
        <w:ind w:firstLine="640"/>
        <w:jc w:val="both"/>
      </w:pPr>
      <w:r>
        <w:rPr>
          <w:rFonts w:ascii="仿宋_GB2312" w:hAnsi="仿宋_GB2312" w:eastAsia="仿宋_GB2312"/>
          <w:b/>
          <w:sz w:val="32"/>
        </w:rPr>
        <w:t>2024年度支出总计132.55万元，</w:t>
      </w:r>
      <w:r>
        <w:rPr>
          <w:rFonts w:ascii="仿宋_GB2312" w:hAnsi="仿宋_GB2312" w:eastAsia="仿宋_GB2312"/>
          <w:b w:val="0"/>
          <w:sz w:val="32"/>
        </w:rPr>
        <w:t>其中：本年支出合计128.02万元，结余分配0.00万元，年末结转和结余4.53万元。</w:t>
      </w:r>
    </w:p>
    <w:p w14:paraId="28F8A233">
      <w:pPr>
        <w:spacing w:line="580" w:lineRule="exact"/>
        <w:ind w:firstLine="640"/>
        <w:jc w:val="both"/>
      </w:pPr>
      <w:r>
        <w:rPr>
          <w:rFonts w:ascii="仿宋_GB2312" w:hAnsi="仿宋_GB2312" w:eastAsia="仿宋_GB2312"/>
          <w:b w:val="0"/>
          <w:sz w:val="32"/>
        </w:rPr>
        <w:t>收入支出总体与上年相比，减少29.04万元，下降17.97%，主要原因是：</w:t>
      </w:r>
      <w:r>
        <w:rPr>
          <w:rFonts w:hint="eastAsia" w:ascii="仿宋_GB2312" w:hAnsi="仿宋_GB2312" w:eastAsia="仿宋_GB2312"/>
          <w:b w:val="0"/>
          <w:sz w:val="32"/>
          <w:lang w:val="en-US" w:eastAsia="zh-CN"/>
        </w:rPr>
        <w:t>本年减少公务接待费支出。</w:t>
      </w:r>
    </w:p>
    <w:p w14:paraId="4B93AE9F">
      <w:pPr>
        <w:spacing w:line="640" w:lineRule="exact"/>
        <w:ind w:firstLine="640"/>
        <w:jc w:val="both"/>
        <w:outlineLvl w:val="2"/>
      </w:pPr>
      <w:r>
        <w:rPr>
          <w:rFonts w:ascii="黑体" w:hAnsi="黑体" w:eastAsia="黑体"/>
          <w:sz w:val="32"/>
        </w:rPr>
        <w:t>二、收入决算情况说明</w:t>
      </w:r>
    </w:p>
    <w:p w14:paraId="6BDA2BBB">
      <w:pPr>
        <w:spacing w:line="580" w:lineRule="exact"/>
        <w:ind w:firstLine="640"/>
        <w:jc w:val="both"/>
      </w:pPr>
      <w:r>
        <w:rPr>
          <w:rFonts w:ascii="仿宋_GB2312" w:hAnsi="仿宋_GB2312" w:eastAsia="仿宋_GB2312"/>
          <w:b/>
          <w:sz w:val="32"/>
        </w:rPr>
        <w:t>本年收入127.65万元，</w:t>
      </w:r>
      <w:r>
        <w:rPr>
          <w:rFonts w:ascii="仿宋_GB2312" w:hAnsi="仿宋_GB2312" w:eastAsia="仿宋_GB2312"/>
          <w:b w:val="0"/>
          <w:sz w:val="32"/>
        </w:rPr>
        <w:t>其中：财政拨款收入122.65万元，占96.08%；上级补助收入0.00万元，占0.00%；事业收入0.00万元，占0.00%；经营收入0.00万元，占0.00%；附属单位上缴收入0.00万元，占0.00%；其他收入5.00万元，占3.92%。</w:t>
      </w:r>
    </w:p>
    <w:p w14:paraId="6C662EBC">
      <w:pPr>
        <w:spacing w:line="640" w:lineRule="exact"/>
        <w:ind w:firstLine="640"/>
        <w:jc w:val="both"/>
        <w:outlineLvl w:val="2"/>
      </w:pPr>
      <w:r>
        <w:rPr>
          <w:rFonts w:ascii="黑体" w:hAnsi="黑体" w:eastAsia="黑体"/>
          <w:sz w:val="32"/>
        </w:rPr>
        <w:t>三、支出决算情况说明</w:t>
      </w:r>
    </w:p>
    <w:p w14:paraId="5313F655">
      <w:pPr>
        <w:spacing w:line="580" w:lineRule="exact"/>
        <w:ind w:firstLine="640"/>
        <w:jc w:val="both"/>
      </w:pPr>
      <w:r>
        <w:rPr>
          <w:rFonts w:ascii="仿宋_GB2312" w:hAnsi="仿宋_GB2312" w:eastAsia="仿宋_GB2312"/>
          <w:b/>
          <w:sz w:val="32"/>
        </w:rPr>
        <w:t>本年支出128.02万元，</w:t>
      </w:r>
      <w:r>
        <w:rPr>
          <w:rFonts w:ascii="仿宋_GB2312" w:hAnsi="仿宋_GB2312" w:eastAsia="仿宋_GB2312"/>
          <w:b w:val="0"/>
          <w:sz w:val="32"/>
        </w:rPr>
        <w:t>其中：基本支出128.02万元，占100.00%；项目支出0.00万元，占0.00%；上缴上级支出0.00万元，占0.00%；经营支出0.00万元，占0.00%；对附属单位补助支出0.00万元，占0.00%。</w:t>
      </w:r>
    </w:p>
    <w:p w14:paraId="6D8B3ED5">
      <w:pPr>
        <w:spacing w:line="640" w:lineRule="exact"/>
        <w:ind w:firstLine="640"/>
        <w:jc w:val="both"/>
        <w:outlineLvl w:val="2"/>
      </w:pPr>
      <w:r>
        <w:rPr>
          <w:rFonts w:ascii="黑体" w:hAnsi="黑体" w:eastAsia="黑体"/>
          <w:sz w:val="32"/>
        </w:rPr>
        <w:t>四、财政拨款收入支出决算总体情况说明</w:t>
      </w:r>
    </w:p>
    <w:p w14:paraId="6FDBDE28">
      <w:pPr>
        <w:spacing w:line="580" w:lineRule="exact"/>
        <w:ind w:firstLine="640"/>
        <w:jc w:val="both"/>
      </w:pPr>
      <w:r>
        <w:rPr>
          <w:rFonts w:ascii="仿宋_GB2312" w:hAnsi="仿宋_GB2312" w:eastAsia="仿宋_GB2312"/>
          <w:b/>
          <w:sz w:val="32"/>
        </w:rPr>
        <w:t>2024年度财政拨款收入总计122.65万元，</w:t>
      </w:r>
      <w:r>
        <w:rPr>
          <w:rFonts w:ascii="仿宋_GB2312" w:hAnsi="仿宋_GB2312" w:eastAsia="仿宋_GB2312"/>
          <w:b w:val="0"/>
          <w:sz w:val="32"/>
        </w:rPr>
        <w:t>其中：年初财政拨款结转和结余0.00万元，本年财政拨款收入122.65万元。</w:t>
      </w:r>
      <w:r>
        <w:rPr>
          <w:rFonts w:ascii="仿宋_GB2312" w:hAnsi="仿宋_GB2312" w:eastAsia="仿宋_GB2312"/>
          <w:b/>
          <w:sz w:val="32"/>
        </w:rPr>
        <w:t>财政拨款支出总计122.65万元，</w:t>
      </w:r>
      <w:r>
        <w:rPr>
          <w:rFonts w:ascii="仿宋_GB2312" w:hAnsi="仿宋_GB2312" w:eastAsia="仿宋_GB2312"/>
          <w:b w:val="0"/>
          <w:sz w:val="32"/>
        </w:rPr>
        <w:t>其中：年末财政拨款结转和结余0.00万元，本年财政拨款支出122.65万元。</w:t>
      </w:r>
    </w:p>
    <w:p w14:paraId="31682EA0">
      <w:pPr>
        <w:spacing w:line="580" w:lineRule="exact"/>
        <w:ind w:firstLine="640"/>
        <w:jc w:val="both"/>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减少30.99万元，下降20.17%，主要原因是：</w:t>
      </w:r>
      <w:r>
        <w:rPr>
          <w:rFonts w:hint="eastAsia" w:ascii="仿宋_GB2312" w:hAnsi="仿宋_GB2312" w:eastAsia="仿宋_GB2312"/>
          <w:b w:val="0"/>
          <w:sz w:val="32"/>
          <w:lang w:val="en-US" w:eastAsia="zh-CN"/>
        </w:rPr>
        <w:t>本年减少公务接待费支出。</w:t>
      </w:r>
      <w:r>
        <w:rPr>
          <w:rFonts w:ascii="仿宋_GB2312" w:hAnsi="仿宋_GB2312" w:eastAsia="仿宋_GB2312"/>
          <w:b/>
          <w:sz w:val="32"/>
        </w:rPr>
        <w:t>与年初预算相比，</w:t>
      </w:r>
      <w:r>
        <w:rPr>
          <w:rFonts w:ascii="仿宋_GB2312" w:hAnsi="仿宋_GB2312" w:eastAsia="仿宋_GB2312"/>
          <w:b w:val="0"/>
          <w:sz w:val="32"/>
        </w:rPr>
        <w:t>年初预算数183.72万元，决算数122.65万元，预决算差异率-33.24%，主要原因是：</w:t>
      </w:r>
      <w:r>
        <w:rPr>
          <w:rFonts w:hint="eastAsia" w:ascii="仿宋_GB2312" w:hAnsi="仿宋_GB2312" w:eastAsia="仿宋_GB2312"/>
          <w:b w:val="0"/>
          <w:sz w:val="32"/>
          <w:lang w:val="en-US" w:eastAsia="zh-CN"/>
        </w:rPr>
        <w:t>年中调减本年减少公务接待费支出，导致预决算存在差异。</w:t>
      </w:r>
    </w:p>
    <w:p w14:paraId="6B8882AE">
      <w:pPr>
        <w:spacing w:line="640" w:lineRule="exact"/>
        <w:ind w:firstLine="640"/>
        <w:jc w:val="both"/>
        <w:outlineLvl w:val="2"/>
      </w:pPr>
      <w:r>
        <w:rPr>
          <w:rFonts w:ascii="黑体" w:hAnsi="黑体" w:eastAsia="黑体"/>
          <w:sz w:val="32"/>
        </w:rPr>
        <w:t>五、一般公共预算财政拨款支出决算情况说明</w:t>
      </w:r>
    </w:p>
    <w:p w14:paraId="41518F5A">
      <w:pPr>
        <w:spacing w:line="640" w:lineRule="exact"/>
        <w:ind w:firstLine="640"/>
        <w:jc w:val="both"/>
        <w:outlineLvl w:val="3"/>
      </w:pPr>
      <w:r>
        <w:rPr>
          <w:rFonts w:ascii="楷体_GB2312" w:hAnsi="楷体_GB2312" w:eastAsia="楷体_GB2312"/>
          <w:b/>
          <w:sz w:val="32"/>
        </w:rPr>
        <w:t>（一）一般公共预算财政拨款支出决算总体情况</w:t>
      </w:r>
    </w:p>
    <w:p w14:paraId="27DEE59C">
      <w:pPr>
        <w:spacing w:line="580" w:lineRule="exact"/>
        <w:ind w:firstLine="640"/>
        <w:jc w:val="both"/>
      </w:pPr>
      <w:r>
        <w:rPr>
          <w:rFonts w:ascii="仿宋_GB2312" w:hAnsi="仿宋_GB2312" w:eastAsia="仿宋_GB2312"/>
          <w:b/>
          <w:sz w:val="32"/>
        </w:rPr>
        <w:t>2024年度一般公共预算财政拨款支出122.65万元，</w:t>
      </w:r>
      <w:r>
        <w:rPr>
          <w:rFonts w:ascii="仿宋_GB2312" w:hAnsi="仿宋_GB2312" w:eastAsia="仿宋_GB2312"/>
          <w:b w:val="0"/>
          <w:sz w:val="32"/>
        </w:rPr>
        <w:t>占本年支出合计的95.81%。</w:t>
      </w:r>
      <w:r>
        <w:rPr>
          <w:rFonts w:ascii="仿宋_GB2312" w:hAnsi="仿宋_GB2312" w:eastAsia="仿宋_GB2312"/>
          <w:b/>
          <w:sz w:val="32"/>
        </w:rPr>
        <w:t>与上年相比，</w:t>
      </w:r>
      <w:r>
        <w:rPr>
          <w:rFonts w:ascii="仿宋_GB2312" w:hAnsi="仿宋_GB2312" w:eastAsia="仿宋_GB2312"/>
          <w:b w:val="0"/>
          <w:sz w:val="32"/>
        </w:rPr>
        <w:t>减少30.99万元，下降20.17%，主要原因是：</w:t>
      </w:r>
      <w:r>
        <w:rPr>
          <w:rFonts w:hint="eastAsia" w:ascii="仿宋_GB2312" w:hAnsi="仿宋_GB2312" w:eastAsia="仿宋_GB2312"/>
          <w:b w:val="0"/>
          <w:sz w:val="32"/>
          <w:lang w:val="en-US" w:eastAsia="zh-CN"/>
        </w:rPr>
        <w:t>本年减少公务接待费支出。</w:t>
      </w:r>
      <w:r>
        <w:rPr>
          <w:rFonts w:ascii="仿宋_GB2312" w:hAnsi="仿宋_GB2312" w:eastAsia="仿宋_GB2312"/>
          <w:b/>
          <w:sz w:val="32"/>
        </w:rPr>
        <w:t>与年初预算相比,</w:t>
      </w:r>
      <w:r>
        <w:rPr>
          <w:rFonts w:ascii="仿宋_GB2312" w:hAnsi="仿宋_GB2312" w:eastAsia="仿宋_GB2312"/>
          <w:b w:val="0"/>
          <w:sz w:val="32"/>
        </w:rPr>
        <w:t>年初预算数183.72万元，决算数122.65万元，预决算差异率-33.24%，主要原因是：</w:t>
      </w:r>
      <w:r>
        <w:rPr>
          <w:rFonts w:hint="eastAsia" w:ascii="仿宋_GB2312" w:hAnsi="仿宋_GB2312" w:eastAsia="仿宋_GB2312"/>
          <w:b w:val="0"/>
          <w:sz w:val="32"/>
          <w:lang w:val="en-US" w:eastAsia="zh-CN"/>
        </w:rPr>
        <w:t>年中调减本年减少公务接待费支出，导致预决算存在差异。</w:t>
      </w:r>
    </w:p>
    <w:p w14:paraId="2909A0B4">
      <w:pPr>
        <w:spacing w:line="640" w:lineRule="exact"/>
        <w:ind w:firstLine="640"/>
        <w:jc w:val="both"/>
        <w:outlineLvl w:val="3"/>
      </w:pPr>
      <w:r>
        <w:rPr>
          <w:rFonts w:ascii="楷体_GB2312" w:hAnsi="楷体_GB2312" w:eastAsia="楷体_GB2312"/>
          <w:b/>
          <w:sz w:val="32"/>
        </w:rPr>
        <w:t>（二）一般公共预算财政拨款支出决算结构情况</w:t>
      </w:r>
    </w:p>
    <w:p w14:paraId="45B30E19">
      <w:pPr>
        <w:spacing w:line="580" w:lineRule="exact"/>
        <w:ind w:firstLine="640"/>
        <w:jc w:val="both"/>
      </w:pPr>
      <w:r>
        <w:rPr>
          <w:rFonts w:ascii="仿宋_GB2312" w:hAnsi="仿宋_GB2312" w:eastAsia="仿宋_GB2312"/>
          <w:b w:val="0"/>
          <w:sz w:val="32"/>
        </w:rPr>
        <w:t>1.一般公共服务支出(类)115.38万元,占94.07%。</w:t>
      </w:r>
    </w:p>
    <w:p w14:paraId="4E53482F">
      <w:pPr>
        <w:spacing w:line="580" w:lineRule="exact"/>
        <w:ind w:firstLine="640"/>
        <w:jc w:val="both"/>
      </w:pPr>
      <w:r>
        <w:rPr>
          <w:rFonts w:ascii="仿宋_GB2312" w:hAnsi="仿宋_GB2312" w:eastAsia="仿宋_GB2312"/>
          <w:b w:val="0"/>
          <w:sz w:val="32"/>
        </w:rPr>
        <w:t>2.社会保障和就业支出(类)3.50万元,占2.85%。</w:t>
      </w:r>
    </w:p>
    <w:p w14:paraId="6E8EF2C6">
      <w:pPr>
        <w:spacing w:line="580" w:lineRule="exact"/>
        <w:ind w:firstLine="640"/>
        <w:jc w:val="both"/>
      </w:pPr>
      <w:r>
        <w:rPr>
          <w:rFonts w:ascii="仿宋_GB2312" w:hAnsi="仿宋_GB2312" w:eastAsia="仿宋_GB2312"/>
          <w:b w:val="0"/>
          <w:sz w:val="32"/>
        </w:rPr>
        <w:t>3.卫生健康支出(类)0.95万元,占0.77%。</w:t>
      </w:r>
    </w:p>
    <w:p w14:paraId="7E89C2A2">
      <w:pPr>
        <w:spacing w:line="580" w:lineRule="exact"/>
        <w:ind w:firstLine="640"/>
        <w:jc w:val="both"/>
      </w:pPr>
      <w:r>
        <w:rPr>
          <w:rFonts w:ascii="仿宋_GB2312" w:hAnsi="仿宋_GB2312" w:eastAsia="仿宋_GB2312"/>
          <w:b w:val="0"/>
          <w:sz w:val="32"/>
        </w:rPr>
        <w:t>4.住房保障支出(类)2.81万元,占2.29%。</w:t>
      </w:r>
    </w:p>
    <w:p w14:paraId="1F5CA16B">
      <w:pPr>
        <w:spacing w:line="640" w:lineRule="exact"/>
        <w:ind w:firstLine="640"/>
        <w:jc w:val="both"/>
        <w:outlineLvl w:val="3"/>
      </w:pPr>
      <w:r>
        <w:rPr>
          <w:rFonts w:ascii="楷体_GB2312" w:hAnsi="楷体_GB2312" w:eastAsia="楷体_GB2312"/>
          <w:b/>
          <w:sz w:val="32"/>
        </w:rPr>
        <w:t>（三）一般公共预算财政拨款支出决算具体情况</w:t>
      </w:r>
    </w:p>
    <w:p w14:paraId="6EA5F98F">
      <w:pPr>
        <w:spacing w:line="580" w:lineRule="exact"/>
        <w:ind w:firstLine="640"/>
        <w:jc w:val="both"/>
        <w:rPr>
          <w:rFonts w:hint="default" w:eastAsia="仿宋_GB2312"/>
          <w:lang w:val="en-US" w:eastAsia="zh-CN"/>
        </w:rPr>
      </w:pPr>
      <w:r>
        <w:rPr>
          <w:rFonts w:ascii="仿宋_GB2312" w:hAnsi="仿宋_GB2312" w:eastAsia="仿宋_GB2312"/>
          <w:b w:val="0"/>
          <w:sz w:val="32"/>
        </w:rPr>
        <w:t>1.一般公共服务支出(类)政府办公厅（室）及相关机构事务(款)事业运行(项):支出决算数为115.38万元，比上年决算减少30.61万元，下降20.97%,主要原因是：</w:t>
      </w:r>
      <w:r>
        <w:rPr>
          <w:rFonts w:hint="eastAsia" w:ascii="仿宋_GB2312" w:hAnsi="仿宋_GB2312" w:eastAsia="仿宋_GB2312"/>
          <w:b w:val="0"/>
          <w:sz w:val="32"/>
          <w:lang w:val="en-US" w:eastAsia="zh-CN"/>
        </w:rPr>
        <w:t>本年减少公务接待费支出。</w:t>
      </w:r>
    </w:p>
    <w:p w14:paraId="37A82B7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3.50万元，比上年决算减少0.10万元，下降2.78%,主要原因是：本年在职人员调入调出，人员职级不同，缴费基数不同，导致养老保险缴费较上年减少。</w:t>
      </w:r>
    </w:p>
    <w:p w14:paraId="2C5AF63D">
      <w:pPr>
        <w:spacing w:line="580" w:lineRule="exact"/>
        <w:ind w:firstLine="640"/>
        <w:jc w:val="both"/>
      </w:pPr>
      <w:r>
        <w:rPr>
          <w:rFonts w:ascii="仿宋_GB2312" w:hAnsi="仿宋_GB2312" w:eastAsia="仿宋_GB2312"/>
          <w:b w:val="0"/>
          <w:sz w:val="32"/>
        </w:rPr>
        <w:t>3.卫生健康支出(类)行政事业单位医疗(款)事业单位医疗(项):支出决算数为0.95万元，比上年决算减少0.07万元，下降6.86%,主要原因是：本年在职人员调入调出，人员职级不同，缴费基数不同，导致事业单位医疗缴费较上年减少。</w:t>
      </w:r>
    </w:p>
    <w:p w14:paraId="62C7081B">
      <w:pPr>
        <w:spacing w:line="580" w:lineRule="exact"/>
        <w:ind w:firstLine="640"/>
        <w:jc w:val="both"/>
      </w:pPr>
      <w:r>
        <w:rPr>
          <w:rFonts w:ascii="仿宋_GB2312" w:hAnsi="仿宋_GB2312" w:eastAsia="仿宋_GB2312"/>
          <w:b w:val="0"/>
          <w:sz w:val="32"/>
        </w:rPr>
        <w:t>4.住房保障支出(类)住房改革支出(款)住房公积金(项):支出决算数为2.81万元，比上年决算减少0.22万元，下降7.26%,主要原因是：本年在职人员调入调出，人员职级不同，缴费基数不同，导致住房公积金较上年减少。</w:t>
      </w:r>
    </w:p>
    <w:p w14:paraId="042085F4">
      <w:pPr>
        <w:spacing w:line="640" w:lineRule="exact"/>
        <w:ind w:firstLine="640"/>
        <w:jc w:val="both"/>
        <w:outlineLvl w:val="2"/>
      </w:pPr>
      <w:r>
        <w:rPr>
          <w:rFonts w:ascii="黑体" w:hAnsi="黑体" w:eastAsia="黑体"/>
          <w:sz w:val="32"/>
        </w:rPr>
        <w:t>六、一般公共预算财政拨款基本支出决算情况说明</w:t>
      </w:r>
    </w:p>
    <w:p w14:paraId="14DB0560">
      <w:pPr>
        <w:spacing w:line="580" w:lineRule="exact"/>
        <w:ind w:firstLine="640"/>
        <w:jc w:val="both"/>
      </w:pPr>
      <w:r>
        <w:rPr>
          <w:rFonts w:ascii="仿宋_GB2312" w:hAnsi="仿宋_GB2312" w:eastAsia="仿宋_GB2312"/>
          <w:b w:val="0"/>
          <w:sz w:val="32"/>
        </w:rPr>
        <w:t>2024年度一般公共预算财政拨款基本支出122.65万元，其中：</w:t>
      </w:r>
      <w:r>
        <w:rPr>
          <w:rFonts w:ascii="仿宋_GB2312" w:hAnsi="仿宋_GB2312" w:eastAsia="仿宋_GB2312"/>
          <w:b/>
          <w:sz w:val="32"/>
        </w:rPr>
        <w:t>人员经费42.01万元，</w:t>
      </w:r>
      <w:r>
        <w:rPr>
          <w:rFonts w:ascii="仿宋_GB2312" w:hAnsi="仿宋_GB2312" w:eastAsia="仿宋_GB2312"/>
          <w:b w:val="0"/>
          <w:sz w:val="32"/>
        </w:rPr>
        <w:t>包括：基本工资、津贴补贴、奖金、机关事业单位基本养老保险缴费、职工基本医疗保险缴费、其他社会保障缴费、住房公积金、奖励金。</w:t>
      </w:r>
    </w:p>
    <w:p w14:paraId="1FC8D8B7">
      <w:pPr>
        <w:spacing w:line="580" w:lineRule="exact"/>
        <w:ind w:firstLine="640"/>
        <w:jc w:val="both"/>
      </w:pPr>
      <w:r>
        <w:rPr>
          <w:rFonts w:ascii="仿宋_GB2312" w:hAnsi="仿宋_GB2312" w:eastAsia="仿宋_GB2312"/>
          <w:b/>
          <w:sz w:val="32"/>
        </w:rPr>
        <w:t>公用经费80.64万元，</w:t>
      </w:r>
      <w:r>
        <w:rPr>
          <w:rFonts w:ascii="仿宋_GB2312" w:hAnsi="仿宋_GB2312" w:eastAsia="仿宋_GB2312"/>
          <w:b w:val="0"/>
          <w:sz w:val="32"/>
        </w:rPr>
        <w:t>包括：办公费、公务接待费、其他商品和服务支出。</w:t>
      </w:r>
    </w:p>
    <w:p w14:paraId="66EC701E">
      <w:pPr>
        <w:spacing w:line="640" w:lineRule="exact"/>
        <w:ind w:firstLine="640"/>
        <w:jc w:val="both"/>
        <w:outlineLvl w:val="2"/>
      </w:pPr>
      <w:r>
        <w:rPr>
          <w:rFonts w:ascii="黑体" w:hAnsi="黑体" w:eastAsia="黑体"/>
          <w:sz w:val="32"/>
        </w:rPr>
        <w:t>七、政府性基金预算财政拨款收入支出决算情况说明</w:t>
      </w:r>
    </w:p>
    <w:p w14:paraId="3A4F641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6DBF763">
      <w:pPr>
        <w:spacing w:line="640" w:lineRule="exact"/>
        <w:ind w:firstLine="640"/>
        <w:jc w:val="both"/>
        <w:outlineLvl w:val="2"/>
      </w:pPr>
      <w:r>
        <w:rPr>
          <w:rFonts w:ascii="黑体" w:hAnsi="黑体" w:eastAsia="黑体"/>
          <w:sz w:val="32"/>
        </w:rPr>
        <w:t>八、国有资本经营预算财政拨款收入支出决算情况说明</w:t>
      </w:r>
    </w:p>
    <w:p w14:paraId="5A6E6F3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BAF7F3">
      <w:pPr>
        <w:spacing w:line="640" w:lineRule="exact"/>
        <w:ind w:firstLine="640"/>
        <w:jc w:val="both"/>
        <w:outlineLvl w:val="2"/>
      </w:pPr>
      <w:r>
        <w:rPr>
          <w:rFonts w:ascii="黑体" w:hAnsi="黑体" w:eastAsia="黑体"/>
          <w:sz w:val="32"/>
        </w:rPr>
        <w:t>九、财政拨款“三公”经费支出决算情况说明</w:t>
      </w:r>
    </w:p>
    <w:p w14:paraId="1E4D357E">
      <w:pPr>
        <w:spacing w:line="580" w:lineRule="exact"/>
        <w:ind w:firstLine="640"/>
        <w:jc w:val="both"/>
      </w:pPr>
      <w:r>
        <w:rPr>
          <w:rFonts w:ascii="仿宋_GB2312" w:hAnsi="仿宋_GB2312" w:eastAsia="仿宋_GB2312"/>
          <w:b/>
          <w:sz w:val="32"/>
        </w:rPr>
        <w:t>2024年度财政拨款“三公”经费支出61.51万元，</w:t>
      </w:r>
      <w:r>
        <w:rPr>
          <w:rFonts w:ascii="仿宋_GB2312" w:hAnsi="仿宋_GB2312" w:eastAsia="仿宋_GB2312"/>
          <w:b w:val="0"/>
          <w:sz w:val="32"/>
        </w:rPr>
        <w:t>比上年减少34.16万元，下降35.71%，主要原因是：严格落实中央八项规定精神，降低开支，无公务函一律不接待。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61.51万元，占100.00%，比上年减少34.16万元，下降35.71%，主要原因是：严格落实中央八项规定精神，降低开支，无公务函一律不接待。</w:t>
      </w:r>
    </w:p>
    <w:p w14:paraId="7BB9379F">
      <w:pPr>
        <w:spacing w:line="580" w:lineRule="exact"/>
        <w:ind w:firstLine="640"/>
        <w:jc w:val="both"/>
      </w:pPr>
      <w:r>
        <w:rPr>
          <w:rFonts w:ascii="仿宋_GB2312" w:hAnsi="仿宋_GB2312" w:eastAsia="仿宋_GB2312"/>
          <w:b/>
          <w:sz w:val="32"/>
        </w:rPr>
        <w:t>具体情况如下：</w:t>
      </w:r>
    </w:p>
    <w:p w14:paraId="370BB28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73E4C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C44F111">
      <w:pPr>
        <w:spacing w:line="580" w:lineRule="exact"/>
        <w:ind w:firstLine="640"/>
        <w:jc w:val="both"/>
      </w:pPr>
      <w:r>
        <w:rPr>
          <w:rFonts w:ascii="仿宋_GB2312" w:hAnsi="仿宋_GB2312" w:eastAsia="仿宋_GB2312"/>
          <w:b w:val="0"/>
          <w:sz w:val="32"/>
        </w:rPr>
        <w:t>公务接待费61.51万元，开支内容包括全市各单位接待上级领导检查，巡视巡察，工作组考察等人员产生的餐饮费，住宿费。单位全年安排的国内公务接待470批次，3,662人次。</w:t>
      </w:r>
    </w:p>
    <w:p w14:paraId="14B8F88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61.51万元，决算数61.51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61.51万元，决算数61.51万元，预决算差异率0.00%，主要原因是：严格按照预算执行，预决算无差异。</w:t>
      </w:r>
    </w:p>
    <w:p w14:paraId="5FC3453C">
      <w:pPr>
        <w:spacing w:line="640" w:lineRule="exact"/>
        <w:ind w:firstLine="640"/>
        <w:jc w:val="both"/>
        <w:outlineLvl w:val="2"/>
      </w:pPr>
      <w:r>
        <w:rPr>
          <w:rFonts w:ascii="黑体" w:hAnsi="黑体" w:eastAsia="黑体"/>
          <w:sz w:val="32"/>
        </w:rPr>
        <w:t>十、其他重要事项的情况说明</w:t>
      </w:r>
    </w:p>
    <w:p w14:paraId="0DEBA235">
      <w:pPr>
        <w:spacing w:line="640" w:lineRule="exact"/>
        <w:ind w:firstLine="640"/>
        <w:jc w:val="both"/>
        <w:outlineLvl w:val="3"/>
      </w:pPr>
      <w:r>
        <w:rPr>
          <w:rFonts w:ascii="楷体_GB2312" w:hAnsi="楷体_GB2312" w:eastAsia="楷体_GB2312"/>
          <w:b/>
          <w:sz w:val="32"/>
        </w:rPr>
        <w:t>（一）机关运行经费及公用经费支出情况</w:t>
      </w:r>
    </w:p>
    <w:p w14:paraId="1A1B49DA">
      <w:pPr>
        <w:spacing w:line="580" w:lineRule="exact"/>
        <w:ind w:firstLine="640"/>
        <w:jc w:val="both"/>
      </w:pPr>
      <w:r>
        <w:rPr>
          <w:rFonts w:ascii="仿宋_GB2312" w:hAnsi="仿宋_GB2312" w:eastAsia="仿宋_GB2312"/>
          <w:b w:val="0"/>
          <w:sz w:val="32"/>
        </w:rPr>
        <w:t>2024年度阿图什市人民政府合作交流中心（事业单位）公用经费支出80.64万元，比上年减少34.13万元，下降29.74%，主要原因是：严格落实中央八项规定精神，降低开支，无公务函一律不接待。</w:t>
      </w:r>
    </w:p>
    <w:p w14:paraId="54D2332F">
      <w:pPr>
        <w:spacing w:line="640" w:lineRule="exact"/>
        <w:ind w:firstLine="640"/>
        <w:jc w:val="both"/>
        <w:outlineLvl w:val="3"/>
      </w:pPr>
      <w:r>
        <w:rPr>
          <w:rFonts w:ascii="楷体_GB2312" w:hAnsi="楷体_GB2312" w:eastAsia="楷体_GB2312"/>
          <w:b/>
          <w:sz w:val="32"/>
        </w:rPr>
        <w:t>（二）政府采购情况</w:t>
      </w:r>
    </w:p>
    <w:p w14:paraId="57AD81B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5899A1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E9671B3">
      <w:pPr>
        <w:spacing w:line="640" w:lineRule="exact"/>
        <w:ind w:firstLine="640"/>
        <w:jc w:val="both"/>
        <w:outlineLvl w:val="3"/>
      </w:pPr>
      <w:r>
        <w:rPr>
          <w:rFonts w:ascii="楷体_GB2312" w:hAnsi="楷体_GB2312" w:eastAsia="楷体_GB2312"/>
          <w:b/>
          <w:sz w:val="32"/>
        </w:rPr>
        <w:t>（三）国有资产占用情况说明</w:t>
      </w:r>
    </w:p>
    <w:p w14:paraId="3DB2E14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F7A024F">
      <w:pPr>
        <w:spacing w:line="640" w:lineRule="exact"/>
        <w:ind w:firstLine="640"/>
        <w:jc w:val="both"/>
        <w:outlineLvl w:val="2"/>
      </w:pPr>
      <w:r>
        <w:rPr>
          <w:rFonts w:ascii="黑体" w:hAnsi="黑体" w:eastAsia="黑体"/>
          <w:sz w:val="32"/>
        </w:rPr>
        <w:t>十一、预算绩效的情况说明</w:t>
      </w:r>
    </w:p>
    <w:p w14:paraId="6DEA35C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132.55万元，实际执行总额128.02万元；预算绩效评价项目2个，全年预算数150.00万元，全年执行数80.55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3E78EB3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75F579F">
        <w:tblPrEx>
          <w:tblCellMar>
            <w:top w:w="0" w:type="dxa"/>
            <w:left w:w="108" w:type="dxa"/>
            <w:bottom w:w="0" w:type="dxa"/>
            <w:right w:w="108" w:type="dxa"/>
          </w:tblCellMar>
        </w:tblPrEx>
        <w:tc>
          <w:tcPr>
            <w:tcW w:w="8840" w:type="dxa"/>
            <w:gridSpan w:val="8"/>
            <w:vAlign w:val="center"/>
          </w:tcPr>
          <w:p w14:paraId="7D50603E">
            <w:pPr>
              <w:jc w:val="center"/>
            </w:pPr>
            <w:r>
              <w:rPr>
                <w:rFonts w:ascii="宋体" w:hAnsi="宋体" w:eastAsia="宋体"/>
                <w:sz w:val="24"/>
              </w:rPr>
              <w:t>单位整体支出绩效自评表</w:t>
            </w:r>
          </w:p>
        </w:tc>
      </w:tr>
      <w:tr w14:paraId="68CCFFBA">
        <w:tblPrEx>
          <w:tblCellMar>
            <w:top w:w="0" w:type="dxa"/>
            <w:left w:w="108" w:type="dxa"/>
            <w:bottom w:w="0" w:type="dxa"/>
            <w:right w:w="108" w:type="dxa"/>
          </w:tblCellMar>
        </w:tblPrEx>
        <w:tc>
          <w:tcPr>
            <w:tcW w:w="8840" w:type="dxa"/>
            <w:gridSpan w:val="8"/>
            <w:vAlign w:val="center"/>
          </w:tcPr>
          <w:p w14:paraId="5B0161CC">
            <w:pPr>
              <w:jc w:val="center"/>
            </w:pPr>
            <w:r>
              <w:rPr>
                <w:rFonts w:ascii="宋体" w:hAnsi="宋体" w:eastAsia="宋体"/>
                <w:sz w:val="24"/>
              </w:rPr>
              <w:t>（2024年度）</w:t>
            </w:r>
          </w:p>
        </w:tc>
      </w:tr>
      <w:tr w14:paraId="02560D7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57FA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53BFA">
            <w:pPr>
              <w:jc w:val="center"/>
            </w:pPr>
            <w:r>
              <w:rPr>
                <w:rFonts w:ascii="宋体" w:hAnsi="宋体" w:eastAsia="宋体"/>
                <w:sz w:val="16"/>
              </w:rPr>
              <w:t>阿图什市人民政府合作交流中心</w:t>
            </w:r>
          </w:p>
        </w:tc>
      </w:tr>
      <w:tr w14:paraId="74B293A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9076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D4E1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9817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9672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C5EE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F296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0040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A6C74">
            <w:pPr>
              <w:jc w:val="center"/>
            </w:pPr>
            <w:r>
              <w:rPr>
                <w:rFonts w:ascii="宋体" w:hAnsi="宋体" w:eastAsia="宋体"/>
                <w:sz w:val="16"/>
              </w:rPr>
              <w:t>得分</w:t>
            </w:r>
          </w:p>
        </w:tc>
      </w:tr>
      <w:tr w14:paraId="169909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D131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6594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51103">
            <w:pPr>
              <w:jc w:val="center"/>
            </w:pPr>
            <w:r>
              <w:rPr>
                <w:rFonts w:ascii="宋体" w:hAnsi="宋体" w:eastAsia="宋体"/>
                <w:sz w:val="16"/>
              </w:rPr>
              <w:t>183.71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87F60">
            <w:pPr>
              <w:jc w:val="center"/>
            </w:pPr>
            <w:r>
              <w:rPr>
                <w:rFonts w:ascii="宋体" w:hAnsi="宋体" w:eastAsia="宋体"/>
                <w:sz w:val="16"/>
              </w:rPr>
              <w:t>132.55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30F7F">
            <w:pPr>
              <w:jc w:val="center"/>
            </w:pPr>
            <w:r>
              <w:rPr>
                <w:rFonts w:ascii="宋体" w:hAnsi="宋体" w:eastAsia="宋体"/>
                <w:sz w:val="16"/>
              </w:rPr>
              <w:t>128.02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34DA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8D0DA">
            <w:pPr>
              <w:jc w:val="center"/>
            </w:pPr>
            <w:r>
              <w:rPr>
                <w:rFonts w:ascii="宋体" w:hAnsi="宋体" w:eastAsia="宋体"/>
                <w:sz w:val="16"/>
              </w:rPr>
              <w:t>96.58%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571F2">
            <w:pPr>
              <w:jc w:val="center"/>
              <w:rPr>
                <w:rFonts w:hint="default" w:eastAsia="宋体"/>
                <w:lang w:val="en-US" w:eastAsia="zh-CN"/>
              </w:rPr>
            </w:pPr>
            <w:r>
              <w:rPr>
                <w:rFonts w:hint="eastAsia" w:ascii="宋体" w:hAnsi="宋体"/>
                <w:sz w:val="16"/>
                <w:lang w:val="en-US" w:eastAsia="zh-CN"/>
              </w:rPr>
              <w:t>9.6</w:t>
            </w:r>
          </w:p>
        </w:tc>
      </w:tr>
      <w:tr w14:paraId="283B7E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DEAF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47EB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521D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259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E16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25F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453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98E4D">
            <w:pPr>
              <w:jc w:val="center"/>
            </w:pPr>
            <w:r>
              <w:rPr>
                <w:rFonts w:ascii="宋体" w:hAnsi="宋体" w:eastAsia="宋体"/>
                <w:sz w:val="16"/>
              </w:rPr>
              <w:t>—</w:t>
            </w:r>
          </w:p>
        </w:tc>
      </w:tr>
      <w:tr w14:paraId="5DC40D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63E1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2E45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0CB47">
            <w:pPr>
              <w:jc w:val="center"/>
            </w:pPr>
            <w:r>
              <w:rPr>
                <w:rFonts w:ascii="宋体" w:hAnsi="宋体" w:eastAsia="宋体"/>
                <w:sz w:val="16"/>
              </w:rPr>
              <w:t>183.71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6C20B">
            <w:pPr>
              <w:jc w:val="center"/>
            </w:pPr>
            <w:r>
              <w:rPr>
                <w:rFonts w:ascii="宋体" w:hAnsi="宋体" w:eastAsia="宋体"/>
                <w:sz w:val="16"/>
              </w:rPr>
              <w:t>132.55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B1B58">
            <w:pPr>
              <w:jc w:val="center"/>
            </w:pPr>
            <w:r>
              <w:rPr>
                <w:rFonts w:ascii="宋体" w:hAnsi="宋体" w:eastAsia="宋体"/>
                <w:sz w:val="16"/>
              </w:rPr>
              <w:t>128.02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A03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FF0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8FD11">
            <w:pPr>
              <w:jc w:val="center"/>
            </w:pPr>
            <w:r>
              <w:rPr>
                <w:rFonts w:ascii="宋体" w:hAnsi="宋体" w:eastAsia="宋体"/>
                <w:sz w:val="16"/>
              </w:rPr>
              <w:t>—</w:t>
            </w:r>
          </w:p>
        </w:tc>
      </w:tr>
      <w:tr w14:paraId="1237FA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CD5A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082C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0A4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7B5D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FBB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6C7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F1A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01EAD">
            <w:pPr>
              <w:jc w:val="center"/>
            </w:pPr>
            <w:r>
              <w:rPr>
                <w:rFonts w:ascii="宋体" w:hAnsi="宋体" w:eastAsia="宋体"/>
                <w:sz w:val="16"/>
              </w:rPr>
              <w:t>—</w:t>
            </w:r>
          </w:p>
        </w:tc>
      </w:tr>
      <w:tr w14:paraId="36F54E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A90B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4358F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D61710">
            <w:pPr>
              <w:jc w:val="center"/>
            </w:pPr>
            <w:r>
              <w:rPr>
                <w:rFonts w:ascii="宋体" w:hAnsi="宋体" w:eastAsia="宋体"/>
                <w:sz w:val="16"/>
              </w:rPr>
              <w:t>实际完成情况</w:t>
            </w:r>
          </w:p>
        </w:tc>
      </w:tr>
      <w:tr w14:paraId="6C6D42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93C5E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C2F733">
            <w:pPr>
              <w:jc w:val="both"/>
            </w:pPr>
            <w:r>
              <w:rPr>
                <w:rFonts w:ascii="宋体" w:hAnsi="宋体" w:eastAsia="宋体"/>
                <w:sz w:val="16"/>
              </w:rPr>
              <w:t xml:space="preserve">单位基本职能：贯彻执行国家、自治区、自治州及阿图什市有关加快经济高质量发展、对口支援和对口合作工作的战略、方针和政策法律法规、规章等，落实阿图什市合作交流工作的安排部署；负责来市的外省、市、区以及自治区、兄弟县市领导干部的考察、调研和检查指导等公务活动的协调和接待工作；负责做好阿图什市委、人民政府领导外出考察的相关协调和后勤服务保障工作；根据相关单位报送的接待方案制定相应的接待工作方案，填写接待报告单报相关领导签批后进行接待；负责管理阿图什市接待费用；严格遵守中央八项规定；自治区、自治州、阿图什市十项规定，以及自治区公务接待相关规定；做好接待费用开支核报工作，对于提出不合理要求的接待有权拒绝；负责各项接待任务的联系、登记和信息统计汇总工作；负责完成好党委、政府领导交办的其他临时性工作。 </w:t>
            </w:r>
            <w:r>
              <w:rPr>
                <w:rFonts w:ascii="宋体" w:hAnsi="宋体" w:eastAsia="宋体"/>
                <w:sz w:val="16"/>
              </w:rPr>
              <w:br w:type="textWrapping"/>
            </w:r>
            <w:r>
              <w:rPr>
                <w:rFonts w:ascii="宋体" w:hAnsi="宋体" w:eastAsia="宋体"/>
                <w:sz w:val="16"/>
              </w:rPr>
              <w:t xml:space="preserve">机构设置及人员配置：下设1个处室，编制数5，实有人数2人，其中：在职2人。 </w:t>
            </w:r>
            <w:r>
              <w:rPr>
                <w:rFonts w:ascii="宋体" w:hAnsi="宋体" w:eastAsia="宋体"/>
                <w:sz w:val="16"/>
              </w:rPr>
              <w:br w:type="textWrapping"/>
            </w:r>
            <w:r>
              <w:rPr>
                <w:rFonts w:ascii="宋体" w:hAnsi="宋体" w:eastAsia="宋体"/>
                <w:sz w:val="16"/>
              </w:rPr>
              <w:t>中长期规划：能够从任务全过程、大范围、高层次的角度来发现、理解、领悟接待的目的和效能要求，从而高起点定位接待工作，高水平统筹接待要素，高标准遴选接待资源，高效率服务接待对象，高质量发挥职能作用，不断提高以事辅政的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08C96C">
            <w:pPr>
              <w:jc w:val="both"/>
            </w:pPr>
            <w:r>
              <w:rPr>
                <w:rFonts w:ascii="宋体" w:hAnsi="宋体" w:eastAsia="宋体"/>
                <w:sz w:val="16"/>
              </w:rPr>
              <w:t>本单位共计支出128.02万元，用于保障部门在职2人的工资福利、各项补助正常发放及部门单位正常运转，单位预算项目根据年初计划均已完成，能够从任务全过程、大范围、高层次的角度来发现、理解、领悟接待的目的和效能要求，从而高起点定位接待工作，高水平统筹接待要素，高标准遴选接待资源，高效率服务接待对象，高质量发挥职能作用，不断提高以事辅政的水平，年度任务中完成保障单位日常运转期限12个月，接待工作正常开展，全市公务接待工作完成及时，干部业务和综合能力培训合格，接待费用的开支核报、登记和信息统计准确等目标。</w:t>
            </w:r>
          </w:p>
        </w:tc>
      </w:tr>
      <w:tr w14:paraId="493CD90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8E67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BC04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A730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DE11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16B4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E0E5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02F7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CF03F">
            <w:pPr>
              <w:jc w:val="center"/>
            </w:pPr>
            <w:r>
              <w:rPr>
                <w:rFonts w:ascii="宋体" w:hAnsi="宋体" w:eastAsia="宋体"/>
                <w:sz w:val="16"/>
              </w:rPr>
              <w:t>得分</w:t>
            </w:r>
          </w:p>
        </w:tc>
      </w:tr>
      <w:tr w14:paraId="68AFE2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F73C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5D76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A286B">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1BE17">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F001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F924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928DD">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8DF5D">
            <w:pPr>
              <w:jc w:val="center"/>
            </w:pPr>
            <w:r>
              <w:rPr>
                <w:rFonts w:ascii="宋体" w:hAnsi="宋体" w:eastAsia="宋体"/>
                <w:sz w:val="16"/>
              </w:rPr>
              <w:t>18</w:t>
            </w:r>
          </w:p>
        </w:tc>
      </w:tr>
      <w:tr w14:paraId="3D0D13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C717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5D61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422F6">
            <w:pPr>
              <w:jc w:val="center"/>
            </w:pPr>
            <w:r>
              <w:rPr>
                <w:rFonts w:ascii="宋体" w:hAnsi="宋体" w:eastAsia="宋体"/>
                <w:sz w:val="16"/>
              </w:rPr>
              <w:t>接待工作正常开展率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932D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E423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476D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E89F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9DAFC">
            <w:pPr>
              <w:jc w:val="center"/>
            </w:pPr>
            <w:r>
              <w:rPr>
                <w:rFonts w:ascii="宋体" w:hAnsi="宋体" w:eastAsia="宋体"/>
                <w:sz w:val="16"/>
              </w:rPr>
              <w:t>18</w:t>
            </w:r>
          </w:p>
        </w:tc>
      </w:tr>
      <w:tr w14:paraId="2FBBCD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1B31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7444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15B8B">
            <w:pPr>
              <w:jc w:val="center"/>
            </w:pPr>
            <w:r>
              <w:rPr>
                <w:rFonts w:ascii="宋体" w:hAnsi="宋体" w:eastAsia="宋体"/>
                <w:sz w:val="16"/>
              </w:rPr>
              <w:t>全市公务接待工作完成及时率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514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C043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04BB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D22C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59F62">
            <w:pPr>
              <w:jc w:val="center"/>
            </w:pPr>
            <w:r>
              <w:rPr>
                <w:rFonts w:ascii="宋体" w:hAnsi="宋体" w:eastAsia="宋体"/>
                <w:sz w:val="16"/>
              </w:rPr>
              <w:t>18</w:t>
            </w:r>
          </w:p>
        </w:tc>
      </w:tr>
      <w:tr w14:paraId="79701B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1B796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9C78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5EB4E">
            <w:pPr>
              <w:jc w:val="center"/>
            </w:pPr>
            <w:r>
              <w:rPr>
                <w:rFonts w:ascii="宋体" w:hAnsi="宋体" w:eastAsia="宋体"/>
                <w:sz w:val="16"/>
              </w:rPr>
              <w:t>干部业务和综合能力培训合格率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1E18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4C3D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F4BD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F9A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C2B0E">
            <w:pPr>
              <w:jc w:val="center"/>
            </w:pPr>
            <w:r>
              <w:rPr>
                <w:rFonts w:ascii="宋体" w:hAnsi="宋体" w:eastAsia="宋体"/>
                <w:sz w:val="16"/>
              </w:rPr>
              <w:t>18</w:t>
            </w:r>
          </w:p>
        </w:tc>
      </w:tr>
      <w:tr w14:paraId="1540A1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3C2BC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83DA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17011">
            <w:pPr>
              <w:jc w:val="center"/>
            </w:pPr>
            <w:r>
              <w:rPr>
                <w:rFonts w:ascii="宋体" w:hAnsi="宋体" w:eastAsia="宋体"/>
                <w:sz w:val="16"/>
              </w:rPr>
              <w:t>接待费用的开支核报、登记和信息统计准确率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BE54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02ED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62C2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C0D8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D7DBC">
            <w:pPr>
              <w:jc w:val="center"/>
            </w:pPr>
            <w:r>
              <w:rPr>
                <w:rFonts w:ascii="宋体" w:hAnsi="宋体" w:eastAsia="宋体"/>
                <w:sz w:val="16"/>
              </w:rPr>
              <w:t>18</w:t>
            </w:r>
          </w:p>
        </w:tc>
      </w:tr>
    </w:tbl>
    <w:p w14:paraId="73E14D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4DBE237">
        <w:tblPrEx>
          <w:tblCellMar>
            <w:top w:w="0" w:type="dxa"/>
            <w:left w:w="108" w:type="dxa"/>
            <w:bottom w:w="0" w:type="dxa"/>
            <w:right w:w="108" w:type="dxa"/>
          </w:tblCellMar>
        </w:tblPrEx>
        <w:tc>
          <w:tcPr>
            <w:tcW w:w="8848" w:type="dxa"/>
            <w:gridSpan w:val="14"/>
            <w:vAlign w:val="center"/>
          </w:tcPr>
          <w:p w14:paraId="4E8DE473">
            <w:pPr>
              <w:jc w:val="center"/>
            </w:pPr>
            <w:r>
              <w:rPr>
                <w:rFonts w:ascii="宋体" w:hAnsi="宋体" w:eastAsia="宋体"/>
                <w:sz w:val="24"/>
              </w:rPr>
              <w:t>项目支出绩效自评表</w:t>
            </w:r>
          </w:p>
        </w:tc>
      </w:tr>
      <w:tr w14:paraId="31E5C19A">
        <w:tblPrEx>
          <w:tblCellMar>
            <w:top w:w="0" w:type="dxa"/>
            <w:left w:w="108" w:type="dxa"/>
            <w:bottom w:w="0" w:type="dxa"/>
            <w:right w:w="108" w:type="dxa"/>
          </w:tblCellMar>
        </w:tblPrEx>
        <w:tc>
          <w:tcPr>
            <w:tcW w:w="8848" w:type="dxa"/>
            <w:gridSpan w:val="14"/>
            <w:vAlign w:val="center"/>
          </w:tcPr>
          <w:p w14:paraId="0A3B489D">
            <w:pPr>
              <w:jc w:val="center"/>
            </w:pPr>
            <w:r>
              <w:rPr>
                <w:rFonts w:ascii="宋体" w:hAnsi="宋体" w:eastAsia="宋体"/>
                <w:sz w:val="24"/>
              </w:rPr>
              <w:t>(2024年度)</w:t>
            </w:r>
          </w:p>
        </w:tc>
      </w:tr>
      <w:tr w14:paraId="070FF3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7B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1C41CA">
            <w:pPr>
              <w:jc w:val="center"/>
            </w:pPr>
            <w:r>
              <w:rPr>
                <w:rFonts w:ascii="宋体" w:hAnsi="宋体" w:eastAsia="宋体"/>
                <w:sz w:val="16"/>
              </w:rPr>
              <w:t>全市公务接待活动经费项目</w:t>
            </w:r>
          </w:p>
        </w:tc>
      </w:tr>
      <w:tr w14:paraId="22648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18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AD40D">
            <w:pPr>
              <w:jc w:val="center"/>
            </w:pPr>
            <w:r>
              <w:rPr>
                <w:rFonts w:ascii="宋体" w:hAnsi="宋体" w:eastAsia="宋体"/>
                <w:sz w:val="16"/>
              </w:rPr>
              <w:t>阿图什市人民政府合作交流中心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FD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55B689">
            <w:pPr>
              <w:jc w:val="center"/>
            </w:pPr>
            <w:r>
              <w:rPr>
                <w:rFonts w:ascii="宋体" w:hAnsi="宋体" w:eastAsia="宋体"/>
                <w:sz w:val="16"/>
              </w:rPr>
              <w:t>阿图什市人民政府合作交流中心</w:t>
            </w:r>
          </w:p>
        </w:tc>
      </w:tr>
      <w:tr w14:paraId="34E24A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B60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3E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149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4B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300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0A8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7CC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C9C0">
            <w:pPr>
              <w:jc w:val="center"/>
            </w:pPr>
            <w:r>
              <w:rPr>
                <w:rFonts w:ascii="宋体" w:hAnsi="宋体" w:eastAsia="宋体"/>
                <w:sz w:val="16"/>
              </w:rPr>
              <w:t>得分</w:t>
            </w:r>
          </w:p>
        </w:tc>
      </w:tr>
      <w:tr w14:paraId="64463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D05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BA5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3662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E179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C6019">
            <w:pPr>
              <w:jc w:val="center"/>
            </w:pPr>
            <w:r>
              <w:rPr>
                <w:rFonts w:ascii="宋体" w:hAnsi="宋体" w:eastAsia="宋体"/>
                <w:sz w:val="16"/>
              </w:rPr>
              <w:t>61.51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82D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1DB90">
            <w:pPr>
              <w:jc w:val="center"/>
            </w:pPr>
            <w:r>
              <w:rPr>
                <w:rFonts w:ascii="宋体" w:hAnsi="宋体" w:eastAsia="宋体"/>
                <w:sz w:val="16"/>
              </w:rPr>
              <w:t>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130E">
            <w:pPr>
              <w:jc w:val="center"/>
            </w:pPr>
            <w:r>
              <w:rPr>
                <w:rFonts w:ascii="宋体" w:hAnsi="宋体" w:eastAsia="宋体"/>
                <w:sz w:val="16"/>
              </w:rPr>
              <w:t>0.38分</w:t>
            </w:r>
          </w:p>
        </w:tc>
      </w:tr>
      <w:tr w14:paraId="4248C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43A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126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3532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AD6A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E4C88">
            <w:pPr>
              <w:jc w:val="center"/>
            </w:pPr>
            <w:r>
              <w:rPr>
                <w:rFonts w:ascii="宋体" w:hAnsi="宋体" w:eastAsia="宋体"/>
                <w:sz w:val="16"/>
              </w:rPr>
              <w:t>61.51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10D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0C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6F84">
            <w:pPr>
              <w:jc w:val="center"/>
            </w:pPr>
            <w:r>
              <w:rPr>
                <w:rFonts w:ascii="宋体" w:hAnsi="宋体" w:eastAsia="宋体"/>
                <w:sz w:val="16"/>
              </w:rPr>
              <w:t>—</w:t>
            </w:r>
          </w:p>
        </w:tc>
      </w:tr>
      <w:tr w14:paraId="4E356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F92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456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696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FC3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CE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5C3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EF9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FF96">
            <w:pPr>
              <w:jc w:val="center"/>
            </w:pPr>
            <w:r>
              <w:rPr>
                <w:rFonts w:ascii="宋体" w:hAnsi="宋体" w:eastAsia="宋体"/>
                <w:sz w:val="16"/>
              </w:rPr>
              <w:t>—</w:t>
            </w:r>
          </w:p>
        </w:tc>
      </w:tr>
      <w:tr w14:paraId="109CE4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9087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81A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82B99A">
            <w:pPr>
              <w:jc w:val="center"/>
            </w:pPr>
            <w:r>
              <w:rPr>
                <w:rFonts w:ascii="宋体" w:hAnsi="宋体" w:eastAsia="宋体"/>
                <w:sz w:val="16"/>
              </w:rPr>
              <w:t>实际完成情况</w:t>
            </w:r>
          </w:p>
        </w:tc>
      </w:tr>
      <w:tr w14:paraId="73ADF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0AB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B1257">
            <w:pPr>
              <w:jc w:val="both"/>
            </w:pPr>
            <w:r>
              <w:rPr>
                <w:rFonts w:ascii="宋体" w:hAnsi="宋体" w:eastAsia="宋体"/>
                <w:sz w:val="16"/>
              </w:rPr>
              <w:t>根据《市政府合作交流中心会议纪要》,安排项目资金100万元，主要用于全市公务接待300次；通过项目的实施，保障市政府合作交流中心工作正常开展。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138892">
            <w:pPr>
              <w:jc w:val="both"/>
            </w:pPr>
            <w:r>
              <w:rPr>
                <w:rFonts w:ascii="宋体" w:hAnsi="宋体" w:eastAsia="宋体"/>
                <w:sz w:val="16"/>
              </w:rPr>
              <w:t>本项目共计支出61.5104万元，用于全市公务接待300次；通过实施本项目保障市政府合作交流中心工作正常开展。</w:t>
            </w:r>
          </w:p>
        </w:tc>
      </w:tr>
      <w:tr w14:paraId="407D26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8A24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82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76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FAA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5F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90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C3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C1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12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25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33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C2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5E3CA">
            <w:pPr>
              <w:jc w:val="center"/>
            </w:pPr>
            <w:r>
              <w:rPr>
                <w:rFonts w:ascii="宋体" w:hAnsi="宋体" w:eastAsia="宋体"/>
                <w:sz w:val="16"/>
              </w:rPr>
              <w:t>偏差原因分析及改进措施</w:t>
            </w:r>
          </w:p>
        </w:tc>
      </w:tr>
      <w:tr w14:paraId="78DA5D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0D8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A97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AA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F38A">
            <w:pPr>
              <w:jc w:val="center"/>
            </w:pPr>
            <w:r>
              <w:rPr>
                <w:rFonts w:ascii="宋体" w:hAnsi="宋体" w:eastAsia="宋体"/>
                <w:sz w:val="16"/>
              </w:rPr>
              <w:t>全市公务接待次数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A8AC">
            <w:pPr>
              <w:jc w:val="center"/>
            </w:pPr>
            <w:r>
              <w:rPr>
                <w:rFonts w:ascii="宋体" w:hAnsi="宋体" w:eastAsia="宋体"/>
                <w:sz w:val="16"/>
              </w:rPr>
              <w:t>&gt;=300次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B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6E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1C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0C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ED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DBDC">
            <w:pPr>
              <w:jc w:val="center"/>
            </w:pPr>
            <w:r>
              <w:rPr>
                <w:rFonts w:ascii="宋体" w:hAnsi="宋体" w:eastAsia="宋体"/>
                <w:sz w:val="16"/>
              </w:rPr>
              <w:t>=300次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1F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F8BA1">
            <w:pPr>
              <w:jc w:val="center"/>
            </w:pPr>
          </w:p>
        </w:tc>
      </w:tr>
      <w:tr w14:paraId="14FCC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F26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45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619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E08E">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E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9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88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0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7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EC9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7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08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C157C">
            <w:pPr>
              <w:jc w:val="center"/>
            </w:pPr>
          </w:p>
        </w:tc>
      </w:tr>
      <w:tr w14:paraId="0FA23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9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8C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0D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157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BE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5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06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EA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A8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F26A">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55F4">
            <w:pPr>
              <w:jc w:val="center"/>
            </w:pPr>
            <w:r>
              <w:rPr>
                <w:rFonts w:ascii="宋体" w:hAnsi="宋体" w:eastAsia="宋体"/>
                <w:sz w:val="16"/>
              </w:rPr>
              <w:t>=61.5%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8E26">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2D5BE">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2E04F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D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B81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DC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EF2A">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CAD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E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1C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D4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C8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79B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C64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4D7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E3AC">
            <w:pPr>
              <w:jc w:val="center"/>
            </w:pPr>
          </w:p>
        </w:tc>
      </w:tr>
      <w:tr w14:paraId="6A765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0E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28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2A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5F28">
            <w:pPr>
              <w:jc w:val="center"/>
            </w:pPr>
            <w:r>
              <w:rPr>
                <w:rFonts w:ascii="宋体" w:hAnsi="宋体" w:eastAsia="宋体"/>
                <w:sz w:val="16"/>
              </w:rPr>
              <w:t>全市公务接待成本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4342">
            <w:pPr>
              <w:jc w:val="center"/>
            </w:pPr>
            <w:r>
              <w:rPr>
                <w:rFonts w:ascii="宋体" w:hAnsi="宋体" w:eastAsia="宋体"/>
                <w:sz w:val="16"/>
              </w:rPr>
              <w:t>&lt;=0.30万元/次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B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E5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DA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8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E736">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7591">
            <w:pPr>
              <w:jc w:val="center"/>
            </w:pPr>
            <w:r>
              <w:rPr>
                <w:rFonts w:ascii="宋体" w:hAnsi="宋体" w:eastAsia="宋体"/>
                <w:sz w:val="16"/>
              </w:rPr>
              <w:t>=0.3万元/次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8A27">
            <w:pPr>
              <w:jc w:val="center"/>
            </w:pPr>
            <w:r>
              <w:rPr>
                <w:rFonts w:ascii="宋体" w:hAnsi="宋体" w:eastAsia="宋体"/>
                <w:sz w:val="16"/>
              </w:rPr>
              <w:t>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3AB0C">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4E00C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E0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7D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09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D2BE">
            <w:pPr>
              <w:jc w:val="center"/>
            </w:pPr>
            <w:r>
              <w:rPr>
                <w:rFonts w:ascii="宋体" w:hAnsi="宋体" w:eastAsia="宋体"/>
                <w:sz w:val="16"/>
              </w:rPr>
              <w:t>保障公务接待工作正常开展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ED0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BC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16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23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65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C4E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CF2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77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E17B">
            <w:pPr>
              <w:jc w:val="center"/>
            </w:pPr>
          </w:p>
        </w:tc>
      </w:tr>
      <w:tr w14:paraId="4D9EC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1E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C2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89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EA1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833A">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2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4C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2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08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7C2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5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E8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0437C">
            <w:pPr>
              <w:jc w:val="center"/>
            </w:pPr>
          </w:p>
        </w:tc>
      </w:tr>
      <w:tr w14:paraId="48138B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219D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C2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208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B349">
            <w:pPr>
              <w:jc w:val="center"/>
            </w:pPr>
            <w:r>
              <w:rPr>
                <w:rFonts w:ascii="宋体" w:hAnsi="宋体" w:eastAsia="宋体"/>
                <w:sz w:val="16"/>
              </w:rPr>
              <w:t>61.51分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9F24A6"/>
        </w:tc>
      </w:tr>
    </w:tbl>
    <w:p w14:paraId="3EFE92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CFEE820">
        <w:tc>
          <w:tcPr>
            <w:tcW w:w="8848" w:type="dxa"/>
            <w:gridSpan w:val="14"/>
            <w:vAlign w:val="center"/>
          </w:tcPr>
          <w:p w14:paraId="6E684248">
            <w:pPr>
              <w:jc w:val="center"/>
            </w:pPr>
            <w:r>
              <w:rPr>
                <w:rFonts w:ascii="宋体" w:hAnsi="宋体" w:eastAsia="宋体"/>
                <w:sz w:val="24"/>
              </w:rPr>
              <w:t>项目支出绩效自评表</w:t>
            </w:r>
          </w:p>
        </w:tc>
      </w:tr>
      <w:tr w14:paraId="35FF9915">
        <w:tblPrEx>
          <w:tblCellMar>
            <w:top w:w="0" w:type="dxa"/>
            <w:left w:w="108" w:type="dxa"/>
            <w:bottom w:w="0" w:type="dxa"/>
            <w:right w:w="108" w:type="dxa"/>
          </w:tblCellMar>
        </w:tblPrEx>
        <w:tc>
          <w:tcPr>
            <w:tcW w:w="8848" w:type="dxa"/>
            <w:gridSpan w:val="14"/>
            <w:vAlign w:val="center"/>
          </w:tcPr>
          <w:p w14:paraId="3D7D5036">
            <w:pPr>
              <w:jc w:val="center"/>
            </w:pPr>
            <w:r>
              <w:rPr>
                <w:rFonts w:ascii="宋体" w:hAnsi="宋体" w:eastAsia="宋体"/>
                <w:sz w:val="24"/>
              </w:rPr>
              <w:t>(2024年度)</w:t>
            </w:r>
          </w:p>
        </w:tc>
      </w:tr>
      <w:tr w14:paraId="6F3463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D1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307217">
            <w:pPr>
              <w:jc w:val="center"/>
            </w:pPr>
            <w:r>
              <w:rPr>
                <w:rFonts w:ascii="宋体" w:hAnsi="宋体" w:eastAsia="宋体"/>
                <w:sz w:val="16"/>
              </w:rPr>
              <w:t>全市慰问活动经费</w:t>
            </w:r>
          </w:p>
        </w:tc>
      </w:tr>
      <w:tr w14:paraId="08E0CD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93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9BE41">
            <w:pPr>
              <w:jc w:val="center"/>
            </w:pPr>
            <w:r>
              <w:rPr>
                <w:rFonts w:ascii="宋体" w:hAnsi="宋体" w:eastAsia="宋体"/>
                <w:sz w:val="16"/>
              </w:rPr>
              <w:t>阿图什市人民政府合作交流中心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0B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40FCD">
            <w:pPr>
              <w:jc w:val="center"/>
            </w:pPr>
            <w:r>
              <w:rPr>
                <w:rFonts w:ascii="宋体" w:hAnsi="宋体" w:eastAsia="宋体"/>
                <w:sz w:val="16"/>
              </w:rPr>
              <w:t>阿图什市人民政府合作交流中心</w:t>
            </w:r>
          </w:p>
        </w:tc>
      </w:tr>
      <w:tr w14:paraId="118BA2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25E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778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004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06F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9B3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12F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9B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8FB2">
            <w:pPr>
              <w:jc w:val="center"/>
            </w:pPr>
            <w:r>
              <w:rPr>
                <w:rFonts w:ascii="宋体" w:hAnsi="宋体" w:eastAsia="宋体"/>
                <w:sz w:val="16"/>
              </w:rPr>
              <w:t>得分</w:t>
            </w:r>
          </w:p>
        </w:tc>
      </w:tr>
      <w:tr w14:paraId="3A4B7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C98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E95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4331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4317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59FB0">
            <w:pPr>
              <w:jc w:val="center"/>
            </w:pPr>
            <w:r>
              <w:rPr>
                <w:rFonts w:ascii="宋体" w:hAnsi="宋体" w:eastAsia="宋体"/>
                <w:sz w:val="16"/>
              </w:rPr>
              <w:t>19.04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2E6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D7A46">
            <w:pPr>
              <w:jc w:val="center"/>
            </w:pPr>
            <w:r>
              <w:rPr>
                <w:rFonts w:ascii="宋体" w:hAnsi="宋体" w:eastAsia="宋体"/>
                <w:sz w:val="16"/>
              </w:rPr>
              <w:t>38.1%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1B66">
            <w:pPr>
              <w:jc w:val="center"/>
            </w:pPr>
            <w:r>
              <w:rPr>
                <w:rFonts w:ascii="宋体" w:hAnsi="宋体" w:eastAsia="宋体"/>
                <w:sz w:val="16"/>
              </w:rPr>
              <w:t>0.00分</w:t>
            </w:r>
          </w:p>
        </w:tc>
      </w:tr>
      <w:tr w14:paraId="41E61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C41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E2E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3F93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2532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505C">
            <w:pPr>
              <w:jc w:val="center"/>
            </w:pPr>
            <w:r>
              <w:rPr>
                <w:rFonts w:ascii="宋体" w:hAnsi="宋体" w:eastAsia="宋体"/>
                <w:sz w:val="16"/>
              </w:rPr>
              <w:t>19.04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FE5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D0E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A916">
            <w:pPr>
              <w:jc w:val="center"/>
            </w:pPr>
            <w:r>
              <w:rPr>
                <w:rFonts w:ascii="宋体" w:hAnsi="宋体" w:eastAsia="宋体"/>
                <w:sz w:val="16"/>
              </w:rPr>
              <w:t>—</w:t>
            </w:r>
          </w:p>
        </w:tc>
      </w:tr>
      <w:tr w14:paraId="1F889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762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66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8D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C06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0A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A3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95F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AF0C">
            <w:pPr>
              <w:jc w:val="center"/>
            </w:pPr>
            <w:r>
              <w:rPr>
                <w:rFonts w:ascii="宋体" w:hAnsi="宋体" w:eastAsia="宋体"/>
                <w:sz w:val="16"/>
              </w:rPr>
              <w:t>—</w:t>
            </w:r>
          </w:p>
        </w:tc>
      </w:tr>
      <w:tr w14:paraId="094E8D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B06E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66D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84A105">
            <w:pPr>
              <w:jc w:val="center"/>
            </w:pPr>
            <w:r>
              <w:rPr>
                <w:rFonts w:ascii="宋体" w:hAnsi="宋体" w:eastAsia="宋体"/>
                <w:sz w:val="16"/>
              </w:rPr>
              <w:t>实际完成情况</w:t>
            </w:r>
          </w:p>
        </w:tc>
      </w:tr>
      <w:tr w14:paraId="7248B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92E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74390">
            <w:pPr>
              <w:jc w:val="both"/>
            </w:pPr>
            <w:r>
              <w:rPr>
                <w:rFonts w:ascii="宋体" w:hAnsi="宋体" w:eastAsia="宋体"/>
                <w:sz w:val="16"/>
              </w:rPr>
              <w:t>根据《市政府合作交流中心会议纪要》，安排项目资金50万元，主要用于全年慰问人次350人，购买慰问用品次数4批次；通过项目的实施，达到保障市政府合作交流中心工作正常开展。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EBC848">
            <w:pPr>
              <w:jc w:val="both"/>
            </w:pPr>
            <w:r>
              <w:rPr>
                <w:rFonts w:ascii="宋体" w:hAnsi="宋体" w:eastAsia="宋体"/>
                <w:sz w:val="16"/>
              </w:rPr>
              <w:t>本项目共计支出19.042万元，用于全年慰问人数350人，购买慰问用品次数4批次；通过实施本项目达到保障市政府合作交流中心工作正常开展。</w:t>
            </w:r>
          </w:p>
        </w:tc>
      </w:tr>
      <w:tr w14:paraId="6C7FFC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C3C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F9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A7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CE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34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D7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CC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00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38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19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CB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B6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EAFA9">
            <w:pPr>
              <w:jc w:val="center"/>
            </w:pPr>
            <w:r>
              <w:rPr>
                <w:rFonts w:ascii="宋体" w:hAnsi="宋体" w:eastAsia="宋体"/>
                <w:sz w:val="16"/>
              </w:rPr>
              <w:t>偏差原因分析及改进措施</w:t>
            </w:r>
          </w:p>
        </w:tc>
      </w:tr>
      <w:tr w14:paraId="3052C1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6B2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E39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F53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95CC">
            <w:pPr>
              <w:jc w:val="center"/>
            </w:pPr>
            <w:r>
              <w:rPr>
                <w:rFonts w:ascii="宋体" w:hAnsi="宋体" w:eastAsia="宋体"/>
                <w:sz w:val="16"/>
              </w:rPr>
              <w:t>全年慰问人数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CB58">
            <w:pPr>
              <w:jc w:val="center"/>
            </w:pPr>
            <w:r>
              <w:rPr>
                <w:rFonts w:ascii="宋体" w:hAnsi="宋体" w:eastAsia="宋体"/>
                <w:sz w:val="16"/>
              </w:rPr>
              <w:t>&gt;=350人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7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A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70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7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1DF7">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7280">
            <w:pPr>
              <w:jc w:val="center"/>
            </w:pPr>
            <w:r>
              <w:rPr>
                <w:rFonts w:ascii="宋体" w:hAnsi="宋体" w:eastAsia="宋体"/>
                <w:sz w:val="16"/>
              </w:rPr>
              <w: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0B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4BAEB">
            <w:pPr>
              <w:jc w:val="center"/>
            </w:pPr>
          </w:p>
        </w:tc>
      </w:tr>
      <w:tr w14:paraId="5BFD6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EC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ED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C4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AD01">
            <w:pPr>
              <w:jc w:val="center"/>
            </w:pPr>
            <w:r>
              <w:rPr>
                <w:rFonts w:ascii="宋体" w:hAnsi="宋体" w:eastAsia="宋体"/>
                <w:sz w:val="16"/>
              </w:rPr>
              <w:t>购买慰问用品次数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2ADB">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3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A4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91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4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E01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55F7">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D4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BC563">
            <w:pPr>
              <w:jc w:val="center"/>
            </w:pPr>
          </w:p>
        </w:tc>
      </w:tr>
      <w:tr w14:paraId="4C321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37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C79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1DC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5C2B">
            <w:pPr>
              <w:jc w:val="center"/>
            </w:pPr>
            <w:r>
              <w:rPr>
                <w:rFonts w:ascii="宋体" w:hAnsi="宋体" w:eastAsia="宋体"/>
                <w:sz w:val="16"/>
              </w:rPr>
              <w:t>慰问用品验收合格率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9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B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4B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3C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55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477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A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A8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999A9">
            <w:pPr>
              <w:jc w:val="center"/>
            </w:pPr>
          </w:p>
        </w:tc>
      </w:tr>
      <w:tr w14:paraId="7B03E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A4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3E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47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F189">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D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87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41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A0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94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CF50">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4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91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5B3BB">
            <w:pPr>
              <w:jc w:val="center"/>
            </w:pPr>
          </w:p>
        </w:tc>
      </w:tr>
      <w:tr w14:paraId="18D6A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0F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C0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AA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29EA">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71B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E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FB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0D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54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DD47">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AD1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A0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CAD55">
            <w:pPr>
              <w:jc w:val="center"/>
            </w:pPr>
          </w:p>
        </w:tc>
      </w:tr>
      <w:tr w14:paraId="72DC5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0B7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ED6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ED2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42BC">
            <w:pPr>
              <w:jc w:val="center"/>
            </w:pPr>
            <w:r>
              <w:rPr>
                <w:rFonts w:ascii="宋体" w:hAnsi="宋体" w:eastAsia="宋体"/>
                <w:sz w:val="16"/>
              </w:rPr>
              <w:t>购买慰问劳保用品成本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5573">
            <w:pPr>
              <w:jc w:val="center"/>
            </w:pPr>
            <w:r>
              <w:rPr>
                <w:rFonts w:ascii="宋体" w:hAnsi="宋体" w:eastAsia="宋体"/>
                <w:sz w:val="16"/>
              </w:rPr>
              <w:t>&lt;=34万元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4B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74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6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B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325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E56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86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B1DFA">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67E6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DD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2A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C8E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7E73">
            <w:pPr>
              <w:jc w:val="center"/>
            </w:pPr>
            <w:r>
              <w:rPr>
                <w:rFonts w:ascii="宋体" w:hAnsi="宋体" w:eastAsia="宋体"/>
                <w:sz w:val="16"/>
              </w:rPr>
              <w:t>其他业务工作成本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2205">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C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6F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1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49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936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44B1">
            <w:pPr>
              <w:jc w:val="center"/>
            </w:pPr>
            <w:r>
              <w:rPr>
                <w:rFonts w:ascii="宋体" w:hAnsi="宋体" w:eastAsia="宋体"/>
                <w:sz w:val="16"/>
              </w:rPr>
              <w:t>=9.042万元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35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36709">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4340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C8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40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65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C891">
            <w:pPr>
              <w:jc w:val="center"/>
            </w:pPr>
            <w:r>
              <w:rPr>
                <w:rFonts w:ascii="宋体" w:hAnsi="宋体" w:eastAsia="宋体"/>
                <w:sz w:val="16"/>
              </w:rPr>
              <w:t>保障日常工作正常开展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6A4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010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E2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D2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3C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291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DF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2D0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7BB59">
            <w:pPr>
              <w:jc w:val="center"/>
            </w:pPr>
          </w:p>
        </w:tc>
      </w:tr>
      <w:tr w14:paraId="61988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95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37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F9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01D0">
            <w:pPr>
              <w:jc w:val="center"/>
            </w:pPr>
            <w:r>
              <w:rPr>
                <w:rFonts w:ascii="宋体" w:hAnsi="宋体" w:eastAsia="宋体"/>
                <w:sz w:val="16"/>
              </w:rPr>
              <w:t>慰问人员满意度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FD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2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B0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3D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FA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CB9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EC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A6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A61D">
            <w:pPr>
              <w:jc w:val="center"/>
            </w:pPr>
          </w:p>
        </w:tc>
      </w:tr>
      <w:tr w14:paraId="027B1F4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7B7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35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010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B3B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376B06"/>
        </w:tc>
      </w:tr>
    </w:tbl>
    <w:p w14:paraId="3C553E83">
      <w:r>
        <w:br w:type="page"/>
      </w:r>
    </w:p>
    <w:p w14:paraId="4FBD1367">
      <w:pPr>
        <w:spacing w:line="640" w:lineRule="exact"/>
        <w:ind w:firstLine="640"/>
        <w:jc w:val="both"/>
        <w:outlineLvl w:val="2"/>
      </w:pPr>
      <w:r>
        <w:rPr>
          <w:rFonts w:ascii="黑体" w:hAnsi="黑体" w:eastAsia="黑体"/>
          <w:sz w:val="32"/>
        </w:rPr>
        <w:t>十二、其他需说明的事项</w:t>
      </w:r>
    </w:p>
    <w:p w14:paraId="6326E9F0">
      <w:pPr>
        <w:spacing w:line="580" w:lineRule="exact"/>
        <w:ind w:firstLine="640"/>
        <w:jc w:val="both"/>
      </w:pPr>
      <w:r>
        <w:rPr>
          <w:rFonts w:hint="eastAsia" w:ascii="仿宋_GB2312" w:hAnsi="仿宋_GB2312" w:eastAsia="仿宋_GB2312"/>
          <w:b w:val="0"/>
          <w:sz w:val="32"/>
        </w:rPr>
        <w:t>本单位2024年度无政府采购支出，授予中小企业合同金额0.00万元。</w:t>
      </w:r>
    </w:p>
    <w:p w14:paraId="29D408BF">
      <w:r>
        <w:br w:type="page"/>
      </w:r>
    </w:p>
    <w:p w14:paraId="4D8731F6">
      <w:pPr>
        <w:spacing w:line="240" w:lineRule="auto"/>
        <w:jc w:val="center"/>
        <w:outlineLvl w:val="1"/>
      </w:pPr>
      <w:r>
        <w:rPr>
          <w:rFonts w:ascii="黑体" w:hAnsi="黑体" w:eastAsia="黑体"/>
          <w:sz w:val="32"/>
        </w:rPr>
        <w:t>第三部分 专业名词解释</w:t>
      </w:r>
    </w:p>
    <w:p w14:paraId="64D290C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1CF1B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5F90B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A6336C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1D932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F56F8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04764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1F6C0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A2891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6344D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8D891E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AC4E0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29F02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64D43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9E00ED">
      <w:r>
        <w:br w:type="page"/>
      </w:r>
    </w:p>
    <w:p w14:paraId="034092EE">
      <w:pPr>
        <w:spacing w:line="240" w:lineRule="auto"/>
        <w:jc w:val="center"/>
        <w:outlineLvl w:val="1"/>
      </w:pPr>
      <w:r>
        <w:rPr>
          <w:rFonts w:ascii="黑体" w:hAnsi="黑体" w:eastAsia="黑体"/>
          <w:sz w:val="32"/>
        </w:rPr>
        <w:t>第四部分 部门决算报表（见附表）</w:t>
      </w:r>
    </w:p>
    <w:p w14:paraId="12DBF565">
      <w:pPr>
        <w:spacing w:line="240" w:lineRule="auto"/>
        <w:ind w:firstLine="640"/>
        <w:jc w:val="both"/>
      </w:pPr>
      <w:r>
        <w:rPr>
          <w:rFonts w:ascii="仿宋_GB2312" w:hAnsi="仿宋_GB2312" w:eastAsia="仿宋_GB2312"/>
          <w:b w:val="0"/>
          <w:sz w:val="32"/>
        </w:rPr>
        <w:t>一、《收入支出决算总表》</w:t>
      </w:r>
    </w:p>
    <w:p w14:paraId="430194D2">
      <w:pPr>
        <w:spacing w:line="240" w:lineRule="auto"/>
        <w:ind w:firstLine="640"/>
        <w:jc w:val="both"/>
      </w:pPr>
      <w:r>
        <w:rPr>
          <w:rFonts w:ascii="仿宋_GB2312" w:hAnsi="仿宋_GB2312" w:eastAsia="仿宋_GB2312"/>
          <w:b w:val="0"/>
          <w:sz w:val="32"/>
        </w:rPr>
        <w:t>二、《收入决算表》</w:t>
      </w:r>
    </w:p>
    <w:p w14:paraId="2A621716">
      <w:pPr>
        <w:spacing w:line="240" w:lineRule="auto"/>
        <w:ind w:firstLine="640"/>
        <w:jc w:val="both"/>
      </w:pPr>
      <w:r>
        <w:rPr>
          <w:rFonts w:ascii="仿宋_GB2312" w:hAnsi="仿宋_GB2312" w:eastAsia="仿宋_GB2312"/>
          <w:b w:val="0"/>
          <w:sz w:val="32"/>
        </w:rPr>
        <w:t>三、《支出决算表》</w:t>
      </w:r>
    </w:p>
    <w:p w14:paraId="31D41862">
      <w:pPr>
        <w:spacing w:line="240" w:lineRule="auto"/>
        <w:ind w:firstLine="640"/>
        <w:jc w:val="both"/>
      </w:pPr>
      <w:r>
        <w:rPr>
          <w:rFonts w:ascii="仿宋_GB2312" w:hAnsi="仿宋_GB2312" w:eastAsia="仿宋_GB2312"/>
          <w:b w:val="0"/>
          <w:sz w:val="32"/>
        </w:rPr>
        <w:t>四、《财政拨款收入支出决算总表》</w:t>
      </w:r>
    </w:p>
    <w:p w14:paraId="07A621D8">
      <w:pPr>
        <w:spacing w:line="240" w:lineRule="auto"/>
        <w:ind w:firstLine="640"/>
        <w:jc w:val="both"/>
      </w:pPr>
      <w:r>
        <w:rPr>
          <w:rFonts w:ascii="仿宋_GB2312" w:hAnsi="仿宋_GB2312" w:eastAsia="仿宋_GB2312"/>
          <w:b w:val="0"/>
          <w:sz w:val="32"/>
        </w:rPr>
        <w:t>五、《一般公共预算财政拨款支出决算表》</w:t>
      </w:r>
    </w:p>
    <w:p w14:paraId="6E4A559E">
      <w:pPr>
        <w:spacing w:line="240" w:lineRule="auto"/>
        <w:ind w:firstLine="640"/>
        <w:jc w:val="both"/>
      </w:pPr>
      <w:r>
        <w:rPr>
          <w:rFonts w:ascii="仿宋_GB2312" w:hAnsi="仿宋_GB2312" w:eastAsia="仿宋_GB2312"/>
          <w:b w:val="0"/>
          <w:sz w:val="32"/>
        </w:rPr>
        <w:t>六、《一般公共预算财政拨款基本支出决算表》</w:t>
      </w:r>
    </w:p>
    <w:p w14:paraId="2637413D">
      <w:pPr>
        <w:spacing w:line="240" w:lineRule="auto"/>
        <w:ind w:firstLine="640"/>
        <w:jc w:val="both"/>
      </w:pPr>
      <w:r>
        <w:rPr>
          <w:rFonts w:ascii="仿宋_GB2312" w:hAnsi="仿宋_GB2312" w:eastAsia="仿宋_GB2312"/>
          <w:b w:val="0"/>
          <w:sz w:val="32"/>
        </w:rPr>
        <w:t>七、《政府性基金预算财政拨款收入支出决算表》</w:t>
      </w:r>
    </w:p>
    <w:p w14:paraId="6BEA2D8B">
      <w:pPr>
        <w:spacing w:line="240" w:lineRule="auto"/>
        <w:ind w:firstLine="640"/>
        <w:jc w:val="both"/>
      </w:pPr>
      <w:r>
        <w:rPr>
          <w:rFonts w:ascii="仿宋_GB2312" w:hAnsi="仿宋_GB2312" w:eastAsia="仿宋_GB2312"/>
          <w:b w:val="0"/>
          <w:sz w:val="32"/>
        </w:rPr>
        <w:t>八、《国有资本经营预算财政拨款收入支出决算表》</w:t>
      </w:r>
    </w:p>
    <w:p w14:paraId="737FB024">
      <w:pPr>
        <w:spacing w:line="240" w:lineRule="auto"/>
        <w:ind w:firstLine="640"/>
        <w:jc w:val="both"/>
      </w:pPr>
      <w:r>
        <w:rPr>
          <w:rFonts w:ascii="仿宋_GB2312" w:hAnsi="仿宋_GB2312" w:eastAsia="仿宋_GB2312"/>
          <w:b w:val="0"/>
          <w:sz w:val="32"/>
        </w:rPr>
        <w:t>九、《财政拨款“三公”经费支出决算表》</w:t>
      </w:r>
    </w:p>
    <w:p w14:paraId="4EE370E9">
      <w:pPr>
        <w:spacing w:line="240" w:lineRule="auto"/>
        <w:ind w:firstLine="640"/>
        <w:jc w:val="both"/>
      </w:pPr>
    </w:p>
    <w:p w14:paraId="2CAA16A7">
      <w:pPr>
        <w:spacing w:line="240" w:lineRule="auto"/>
        <w:ind w:firstLine="640"/>
        <w:jc w:val="both"/>
      </w:pPr>
    </w:p>
    <w:p w14:paraId="01C9D335">
      <w:pPr>
        <w:spacing w:line="240" w:lineRule="auto"/>
        <w:ind w:firstLine="640"/>
        <w:jc w:val="both"/>
      </w:pPr>
    </w:p>
    <w:p w14:paraId="7BA3B4D6">
      <w:pPr>
        <w:spacing w:line="240" w:lineRule="auto"/>
        <w:ind w:firstLine="640"/>
        <w:jc w:val="both"/>
      </w:pPr>
    </w:p>
    <w:p w14:paraId="4B75041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17AD6D-E5E9-480B-8CC3-67016EC037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A03FDA8-056A-43AD-806B-719327FA5A5F}"/>
  </w:font>
  <w:font w:name="仿宋_GB2312">
    <w:panose1 w:val="02010609030101010101"/>
    <w:charset w:val="86"/>
    <w:family w:val="modern"/>
    <w:pitch w:val="default"/>
    <w:sig w:usb0="00000001" w:usb1="080E0000" w:usb2="00000000" w:usb3="00000000" w:csb0="00040000" w:csb1="00000000"/>
    <w:embedRegular r:id="rId3" w:fontKey="{6284D944-8AFE-4490-99CE-75F37F6E64B7}"/>
  </w:font>
  <w:font w:name="楷体_GB2312">
    <w:panose1 w:val="02010609030101010101"/>
    <w:charset w:val="86"/>
    <w:family w:val="auto"/>
    <w:pitch w:val="default"/>
    <w:sig w:usb0="00000001" w:usb1="080E0000" w:usb2="00000000" w:usb3="00000000" w:csb0="00040000" w:csb1="00000000"/>
    <w:embedRegular r:id="rId4" w:fontKey="{5ED02EE2-A2C9-415B-90DB-F8127C3346BD}"/>
  </w:font>
  <w:font w:name="WPSEMBED159">
    <w:panose1 w:val="02010609030101010101"/>
    <w:charset w:val="86"/>
    <w:family w:val="auto"/>
    <w:pitch w:val="default"/>
    <w:sig w:usb0="00000001" w:usb1="080E0000" w:usb2="00000000" w:usb3="00000000" w:csb0="00040000" w:csb1="00000000"/>
  </w:font>
  <w:font w:name="WPSEMBED160">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3F1EE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71A9B"/>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A874A7"/>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4388</Words>
  <Characters>5007</Characters>
  <Lines>0</Lines>
  <Paragraphs>0</Paragraphs>
  <TotalTime>6</TotalTime>
  <ScaleCrop>false</ScaleCrop>
  <LinksUpToDate>false</LinksUpToDate>
  <CharactersWithSpaces>5015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