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lang w:eastAsia="zh-CN"/>
        </w:rPr>
        <w:t xml:space="preserve">全市公务接待活动经费项目</w:t>
      </w: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w:t>
      </w:r>
      <w:r>
        <w:rPr>
          <w:rFonts w:ascii="方正小标宋_GBK" w:eastAsia="方正小标宋_GBK" w:hAnsi="黑体" w:cs="仿宋_GB2312" w:hint="eastAsia"/>
          <w:bCs/>
          <w:color w:val="auto"/>
          <w:sz w:val="44"/>
          <w:szCs w:val="44"/>
          <w:highlight w:val="none"/>
          <w:lang w:eastAsia="zh-CN"/>
        </w:rPr>
        <w:t xml:space="preserve">202</w:t>
      </w:r>
      <w:r>
        <w:rPr>
          <w:rFonts w:ascii="方正小标宋_GBK" w:eastAsia="方正小标宋_GBK" w:hAnsi="黑体" w:cs="仿宋_GB2312" w:hint="eastAsia"/>
          <w:bCs/>
          <w:color w:val="auto"/>
          <w:sz w:val="44"/>
          <w:szCs w:val="44"/>
          <w:highlight w:val="none"/>
          <w:lang w:val="en-US" w:eastAsia="zh-CN"/>
        </w:rPr>
        <w:t xml:space="preserve">4</w:t>
      </w:r>
      <w:r>
        <w:rPr>
          <w:rFonts w:ascii="方正小标宋_GBK" w:eastAsia="方正小标宋_GBK" w:hAnsi="黑体" w:cs="仿宋_GB2312" w:hint="eastAsia"/>
          <w:bCs/>
          <w:color w:val="auto"/>
          <w:sz w:val="44"/>
          <w:szCs w:val="44"/>
          <w:highlight w:val="none"/>
        </w:rPr>
        <w:t xml:space="preserve">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lang w:eastAsia="zh-CN"/>
        </w:rPr>
      </w:pPr>
      <w:r>
        <w:rPr>
          <w:rFonts w:ascii="黑体" w:eastAsia="黑体" w:hAnsi="黑体" w:cs="仿宋_GB2312" w:hint="eastAsia"/>
          <w:color w:val="auto"/>
          <w:kern w:val="0"/>
          <w:sz w:val="32"/>
          <w:szCs w:val="32"/>
          <w:highlight w:val="none"/>
        </w:rPr>
        <w:t xml:space="preserve">项目名称：</w:t>
      </w:r>
      <w:r>
        <w:rPr>
          <w:rFonts w:ascii="黑体" w:eastAsia="黑体" w:hAnsi="黑体" w:cs="仿宋_GB2312" w:hint="eastAsia"/>
          <w:color w:val="auto"/>
          <w:kern w:val="0"/>
          <w:sz w:val="32"/>
          <w:szCs w:val="32"/>
          <w:highlight w:val="none"/>
          <w:lang w:eastAsia="zh-CN"/>
        </w:rPr>
        <w:t xml:space="preserve">全市公务接待活动经费项目</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lang w:eastAsia="zh-CN"/>
        </w:rPr>
      </w:pPr>
      <w:r>
        <w:rPr>
          <w:rFonts w:ascii="黑体" w:eastAsia="黑体" w:hAnsi="黑体" w:cs="仿宋_GB2312" w:hint="eastAsia"/>
          <w:color w:val="auto"/>
          <w:kern w:val="0"/>
          <w:sz w:val="32"/>
          <w:szCs w:val="32"/>
          <w:highlight w:val="none"/>
        </w:rPr>
        <w:t xml:space="preserve">项目单位：</w:t>
      </w:r>
      <w:r>
        <w:rPr>
          <w:rFonts w:ascii="黑体" w:eastAsia="黑体" w:hAnsi="黑体" w:cs="仿宋_GB2312" w:hint="eastAsia"/>
          <w:color w:val="auto"/>
          <w:kern w:val="0"/>
          <w:sz w:val="32"/>
          <w:szCs w:val="32"/>
          <w:highlight w:val="none"/>
          <w:lang w:eastAsia="zh-CN"/>
        </w:rPr>
        <w:t xml:space="preserve">阿图什市人民政府合作交流中心</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lang w:eastAsia="zh-CN"/>
        </w:rPr>
      </w:pPr>
      <w:r>
        <w:rPr>
          <w:rFonts w:ascii="黑体" w:eastAsia="黑体" w:hAnsi="黑体" w:cs="仿宋_GB2312" w:hint="eastAsia"/>
          <w:color w:val="auto"/>
          <w:kern w:val="0"/>
          <w:sz w:val="32"/>
          <w:szCs w:val="32"/>
          <w:highlight w:val="none"/>
        </w:rPr>
        <w:t xml:space="preserve">主管部门：</w:t>
      </w:r>
      <w:r>
        <w:rPr>
          <w:rFonts w:ascii="黑体" w:eastAsia="黑体" w:hAnsi="黑体" w:cs="仿宋_GB2312" w:hint="eastAsia"/>
          <w:color w:val="auto"/>
          <w:kern w:val="0"/>
          <w:sz w:val="32"/>
          <w:szCs w:val="32"/>
          <w:highlight w:val="none"/>
          <w:lang w:eastAsia="zh-CN"/>
        </w:rPr>
        <w:t xml:space="preserve">阿图什市人民政府合作交流中心</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lang w:eastAsia="zh-CN"/>
        </w:rPr>
        <w:t xml:space="preserve">202</w:t>
      </w:r>
      <w:r>
        <w:rPr>
          <w:rFonts w:ascii="黑体" w:eastAsia="黑体" w:hAnsi="黑体" w:cs="仿宋_GB2312" w:hint="eastAsia"/>
          <w:color w:val="auto"/>
          <w:sz w:val="32"/>
          <w:szCs w:val="32"/>
          <w:highlight w:val="none"/>
          <w:lang w:val="en-US" w:eastAsia="zh-CN"/>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10</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lang w:eastAsia="zh-CN"/>
        </w:rPr>
        <w:t xml:space="preserve">全市公务接待活动经费项目</w:t>
      </w: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围绕党的中心工作，负责全面了解阿图什市经济</w:t>
      </w:r>
      <w:r>
        <w:rPr>
          <w:rFonts w:ascii="仿宋_GB2312" w:hAnsi="仿宋" w:cs="宋体" w:hint="eastAsia"/>
          <w:color w:val="auto"/>
          <w:sz w:val="32"/>
          <w:szCs w:val="32"/>
          <w:highlight w:val="none"/>
          <w:lang w:eastAsia="zh-CN"/>
        </w:rPr>
        <w:t xml:space="preserve">和</w:t>
      </w:r>
      <w:r>
        <w:rPr>
          <w:rFonts w:ascii="仿宋_GB2312" w:hAnsi="仿宋" w:cs="宋体" w:hint="eastAsia"/>
          <w:color w:val="auto"/>
          <w:sz w:val="32"/>
          <w:szCs w:val="32"/>
          <w:highlight w:val="none"/>
        </w:rPr>
        <w:t xml:space="preserve">社会发展情况,对阿图什市社会和经济发展进行研究调查，及时掌握动态提出意见和建议，推动阿图什市整体社会、经济发展，保障市政府合作交流中心正常运转，保障市政府办公室高效正常运转。本项目的立项依据为《市政府合作交流中心会议纪要》。</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根据《市政府合作交流中心会议纪要》,安排项目资金100万元，主要用于全市公务接待300次；通过项目的实施，保障市政府合作交流中心工作正常开展。</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w:t>
      </w:r>
      <w:r>
        <w:rPr>
          <w:rFonts w:ascii="仿宋_GB2312" w:hAnsi="仿宋_GB2312" w:cs="仿宋_GB2312" w:hint="eastAsia"/>
          <w:bCs/>
          <w:color w:val="auto"/>
          <w:sz w:val="32"/>
          <w:szCs w:val="30"/>
          <w:highlight w:val="none"/>
          <w:lang w:eastAsia="zh-CN"/>
        </w:rPr>
        <w:t xml:space="preserve">阿图什市人民政府合作交流中心</w:t>
      </w:r>
      <w:r>
        <w:rPr>
          <w:rFonts w:ascii="仿宋_GB2312" w:hAnsi="仿宋_GB2312" w:cs="仿宋_GB2312" w:hint="eastAsia"/>
          <w:bCs/>
          <w:color w:val="auto"/>
          <w:sz w:val="32"/>
          <w:szCs w:val="30"/>
          <w:highlight w:val="none"/>
        </w:rPr>
        <w:t xml:space="preserve">,实施单位为</w:t>
      </w:r>
      <w:r>
        <w:rPr>
          <w:rFonts w:ascii="仿宋_GB2312" w:hAnsi="仿宋_GB2312" w:cs="仿宋_GB2312" w:hint="eastAsia"/>
          <w:bCs/>
          <w:color w:val="auto"/>
          <w:sz w:val="32"/>
          <w:szCs w:val="30"/>
          <w:highlight w:val="none"/>
          <w:lang w:eastAsia="zh-CN"/>
        </w:rPr>
        <w:t xml:space="preserve">阿图什市人民政府合作交流中心</w:t>
      </w:r>
      <w:r>
        <w:rPr>
          <w:rFonts w:ascii="仿宋_GB2312" w:hAnsi="仿宋_GB2312" w:cs="仿宋_GB2312" w:hint="eastAsia"/>
          <w:bCs/>
          <w:color w:val="auto"/>
          <w:sz w:val="32"/>
          <w:szCs w:val="30"/>
          <w:highlight w:val="none"/>
        </w:rPr>
        <w:t xml:space="preserve">，主要职责项目实施过程中严格按照实施方案进行实施并及时进行监督管理，项目实施后进行及时验收及后期管理。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w:t>
      </w:r>
      <w:r>
        <w:rPr>
          <w:rFonts w:ascii="仿宋_GB2312" w:hAnsi="仿宋_GB2312" w:cs="仿宋_GB2312" w:hint="eastAsia"/>
          <w:bCs/>
          <w:color w:val="auto"/>
          <w:sz w:val="32"/>
          <w:szCs w:val="30"/>
          <w:highlight w:val="none"/>
          <w:lang w:eastAsia="zh-CN"/>
        </w:rPr>
        <w:t xml:space="preserve">202</w:t>
      </w:r>
      <w:r>
        <w:rPr>
          <w:rFonts w:ascii="仿宋_GB2312" w:hAnsi="仿宋_GB2312" w:cs="仿宋_GB2312" w:hint="eastAsia"/>
          <w:bCs/>
          <w:color w:val="auto"/>
          <w:sz w:val="32"/>
          <w:szCs w:val="30"/>
          <w:highlight w:val="none"/>
          <w:lang w:val="en-US" w:eastAsia="zh-CN"/>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本项目共计支出61.5104万元，用于全市公务接待300次；通过实施本项目保障市政府合作交流中心工作正常开展。</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100万元</w:t>
      </w:r>
      <w:r>
        <w:rPr>
          <w:rStyle w:val="Strong"/>
          <w:rFonts w:ascii="仿宋_GB2312" w:hAnsi="仿宋_GB2312" w:cs="仿宋_GB2312" w:hint="eastAsia"/>
          <w:b w:val="0"/>
          <w:bCs w:val="0"/>
          <w:color w:val="auto"/>
          <w:spacing w:val="-4"/>
          <w:sz w:val="32"/>
          <w:szCs w:val="30"/>
          <w:highlight w:val="none"/>
        </w:rPr>
        <w:t xml:space="preserve">，资金来源为本级部门预算</w:t>
      </w:r>
      <w:r>
        <w:rPr>
          <w:rStyle w:val="Strong"/>
          <w:rFonts w:ascii="仿宋_GB2312" w:hAnsi="仿宋_GB2312" w:cs="仿宋_GB2312" w:hint="eastAsia"/>
          <w:b w:val="0"/>
          <w:bCs w:val="0"/>
          <w:color w:val="auto"/>
          <w:spacing w:val="-4"/>
          <w:sz w:val="32"/>
          <w:szCs w:val="30"/>
          <w:highlight w:val="none"/>
          <w:lang w:val="en-US" w:eastAsia="zh-CN"/>
        </w:rPr>
        <w:t xml:space="preserve">资金</w:t>
      </w:r>
      <w:r>
        <w:rPr>
          <w:rStyle w:val="Strong"/>
          <w:rFonts w:ascii="仿宋_GB2312" w:hAnsi="仿宋_GB2312" w:cs="仿宋_GB2312" w:hint="eastAsia"/>
          <w:b w:val="0"/>
          <w:bCs w:val="0"/>
          <w:color w:val="auto"/>
          <w:spacing w:val="-4"/>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w:t>
      </w:r>
      <w:r>
        <w:rPr>
          <w:rStyle w:val="Strong"/>
          <w:rFonts w:ascii="仿宋_GB2312" w:hAnsi="仿宋_GB2312" w:cs="仿宋_GB2312" w:hint="eastAsia"/>
          <w:b w:val="0"/>
          <w:color w:val="auto"/>
          <w:spacing w:val="-4"/>
          <w:sz w:val="32"/>
          <w:szCs w:val="30"/>
          <w:highlight w:val="none"/>
          <w:lang w:eastAsia="zh-CN"/>
        </w:rPr>
        <w:t xml:space="preserve">61.51万元</w:t>
      </w:r>
      <w:r>
        <w:rPr>
          <w:rStyle w:val="Strong"/>
          <w:rFonts w:ascii="仿宋_GB2312" w:hAnsi="仿宋_GB2312" w:cs="仿宋_GB2312" w:hint="eastAsia"/>
          <w:b w:val="0"/>
          <w:color w:val="auto"/>
          <w:spacing w:val="-4"/>
          <w:sz w:val="32"/>
          <w:szCs w:val="30"/>
          <w:highlight w:val="none"/>
        </w:rPr>
        <w:t xml:space="preserve">，资金执行率达到</w:t>
      </w:r>
      <w:r>
        <w:rPr>
          <w:rStyle w:val="Strong"/>
          <w:rFonts w:ascii="仿宋_GB2312" w:hAnsi="仿宋_GB2312" w:cs="仿宋_GB2312" w:hint="eastAsia"/>
          <w:b w:val="0"/>
          <w:color w:val="auto"/>
          <w:spacing w:val="-4"/>
          <w:sz w:val="32"/>
          <w:szCs w:val="30"/>
          <w:highlight w:val="none"/>
          <w:lang w:val="en-US" w:eastAsia="zh-CN"/>
        </w:rPr>
        <w:t xml:space="preserve">61.50%</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eastAsia="仿宋_GB2312" w:hint="eastAsia"/>
          <w:b w:val="0"/>
          <w:color w:val="auto"/>
          <w:spacing w:val="-4"/>
          <w:sz w:val="32"/>
          <w:highlight w:val="none"/>
          <w:lang w:eastAsia="zh-CN"/>
        </w:rPr>
      </w:pPr>
      <w:r>
        <w:rPr>
          <w:rStyle w:val="Strong"/>
          <w:rFonts w:ascii="仿宋_GB2312" w:hint="eastAsia"/>
          <w:b w:val="0"/>
          <w:color w:val="auto"/>
          <w:spacing w:val="-4"/>
          <w:sz w:val="32"/>
          <w:highlight w:val="none"/>
        </w:rPr>
        <w:t xml:space="preserve">全市公务接待成本0.30万元/次</w:t>
      </w:r>
      <w:r>
        <w:rPr>
          <w:rStyle w:val="Strong"/>
          <w:rFonts w:ascii="仿宋_GB2312" w:hint="eastAsia"/>
          <w:b w:val="0"/>
          <w:color w:val="auto"/>
          <w:spacing w:val="-4"/>
          <w:sz w:val="32"/>
          <w:highlight w:val="none"/>
          <w:lang w:eastAsia="zh-CN"/>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年度总体目标为：根据《市政府合作交流中心会议纪要》,安排项目资金100万元，主要用于全市公务接待300次；通过项目的实施，保障市政府合作交流中心工作正常开展。</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阶段性目标为：根据《市政府合作交流中心会议纪要》,安排项目资金100万元，主要用于全市公务接待300次；通过项目的实施，保障市政府合作交流中心工作正常开展。</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（一）绩效评价目的、对象和范围</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1．绩效评价目的</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本次绩效评价遵循财政部《项目支出绩效评价管理办法》（财预〔</w:t>
      </w:r>
      <w:r>
        <w:rPr>
          <w:rFonts w:ascii="仿宋_GB2312" w:eastAsia="仿宋_GB2312" w:hAnsi="仿宋_GB2312" w:cs="仿宋_GB2312" w:hint="eastAsia"/>
          <w:color w:val="auto"/>
          <w:sz w:val="32"/>
          <w:szCs w:val="32"/>
          <w:highlight w:val="none"/>
          <w:lang w:eastAsia="zh-CN"/>
        </w:rPr>
        <w:t xml:space="preserve">202</w:t>
      </w:r>
      <w:r>
        <w:rPr>
          <w:rFonts w:ascii="仿宋_GB2312" w:eastAsia="仿宋_GB2312" w:hAnsi="仿宋_GB2312" w:cs="仿宋_GB2312" w:hint="eastAsia"/>
          <w:color w:val="auto"/>
          <w:sz w:val="32"/>
          <w:szCs w:val="32"/>
          <w:highlight w:val="none"/>
          <w:lang w:val="en-US" w:eastAsia="zh-CN"/>
        </w:rPr>
        <w:t xml:space="preserve">0</w:t>
      </w:r>
      <w:r>
        <w:rPr>
          <w:rFonts w:ascii="仿宋_GB2312" w:eastAsia="仿宋_GB2312" w:hAnsi="仿宋_GB2312" w:cs="仿宋_GB2312" w:hint="eastAsia"/>
          <w:color w:val="auto"/>
          <w:sz w:val="32"/>
          <w:szCs w:val="32"/>
          <w:highlight w:val="none"/>
        </w:rPr>
        <w:t xml:space="preserve">〕10号）和自治区财政厅</w:t>
      </w:r>
      <w:r>
        <w:rPr>
          <w:rFonts w:ascii="仿宋_GB2312" w:eastAsia="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eastAsia="仿宋_GB2312" w:hAnsi="仿宋_GB2312" w:cs="仿宋_GB2312" w:hint="eastAsia"/>
          <w:color w:val="auto"/>
          <w:sz w:val="32"/>
          <w:szCs w:val="32"/>
          <w:highlight w:val="none"/>
        </w:rPr>
        <w:t xml:space="preserve">等相关政策文件与规定，</w:t>
      </w:r>
      <w:r>
        <w:rPr>
          <w:rFonts w:ascii="仿宋_GB2312" w:eastAsia="仿宋_GB2312" w:hAnsi="仿宋_GB2312" w:cs="仿宋_GB2312" w:hint="eastAsia"/>
          <w:color w:val="auto"/>
          <w:sz w:val="32"/>
          <w:szCs w:val="32"/>
          <w:highlight w:val="none"/>
          <w:lang w:val="en-US" w:eastAsia="zh-CN"/>
        </w:rPr>
        <w:t xml:space="preserve">绩效评价</w:t>
      </w:r>
      <w:r>
        <w:rPr>
          <w:rFonts w:ascii="仿宋_GB2312" w:eastAsia="仿宋_GB2312" w:hAnsi="仿宋_GB2312" w:cs="仿宋_GB2312" w:hint="eastAsia"/>
          <w:color w:val="auto"/>
          <w:sz w:val="32"/>
          <w:szCs w:val="32"/>
          <w:highlight w:val="none"/>
        </w:rPr>
        <w:t xml:space="preserve">旨在评价</w:t>
      </w:r>
      <w:r>
        <w:rPr>
          <w:rFonts w:ascii="仿宋_GB2312" w:eastAsia="仿宋_GB2312" w:hAnsi="仿宋_GB2312" w:cs="仿宋_GB2312" w:hint="eastAsia"/>
          <w:color w:val="auto"/>
          <w:sz w:val="32"/>
          <w:szCs w:val="32"/>
          <w:highlight w:val="none"/>
          <w:lang w:eastAsia="zh-CN"/>
        </w:rPr>
        <w:t xml:space="preserve">本</w:t>
      </w:r>
      <w:r>
        <w:rPr>
          <w:rFonts w:ascii="仿宋_GB2312" w:eastAsia="仿宋_GB2312" w:hAnsi="仿宋_GB2312" w:cs="仿宋_GB2312" w:hint="eastAsia"/>
          <w:color w:val="auto"/>
          <w:sz w:val="32"/>
          <w:szCs w:val="32"/>
          <w:highlight w:val="none"/>
        </w:rPr>
        <w:t xml:space="preserve">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w:t>
      </w:r>
      <w:r>
        <w:rPr>
          <w:rFonts w:ascii="仿宋_GB2312" w:eastAsia="仿宋_GB2312" w:hAnsi="仿宋_GB2312" w:cs="仿宋_GB2312" w:hint="eastAsia"/>
          <w:color w:val="auto"/>
          <w:sz w:val="32"/>
          <w:szCs w:val="32"/>
          <w:highlight w:val="none"/>
          <w:lang w:eastAsia="zh-CN"/>
        </w:rPr>
        <w:t xml:space="preserve">，</w:t>
      </w:r>
      <w:r>
        <w:rPr>
          <w:rFonts w:ascii="仿宋_GB2312" w:eastAsia="仿宋_GB2312" w:hAnsi="仿宋_GB2312" w:cs="仿宋_GB2312" w:hint="eastAsia"/>
          <w:color w:val="auto"/>
          <w:sz w:val="32"/>
          <w:szCs w:val="32"/>
          <w:highlight w:val="none"/>
        </w:rPr>
        <w:t xml:space="preserve">提升财政资金的使用效能。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w:t>
      </w: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全市公务接待活动经费项目</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val="0"/>
          <w:color w:val="auto"/>
          <w:sz w:val="32"/>
          <w:highlight w:val="none"/>
        </w:rPr>
      </w:pPr>
      <w:r>
        <w:rPr>
          <w:rFonts w:ascii="楷体" w:eastAsia="楷体" w:hAnsi="楷体" w:cs="仿宋_GB2312" w:hint="eastAsia"/>
          <w:b/>
          <w:bCs w:val="0"/>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w:t>
      </w:r>
      <w:r>
        <w:rPr>
          <w:rFonts w:ascii="仿宋_GB2312" w:hAnsi="仿宋_GB2312" w:cs="仿宋_GB2312" w:hint="eastAsia"/>
          <w:color w:val="auto"/>
          <w:sz w:val="32"/>
          <w:highlight w:val="none"/>
          <w:lang w:eastAsia="zh-CN"/>
        </w:rPr>
        <w:t xml:space="preserve">应用、</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lang w:val="en-US" w:eastAsia="zh-CN"/>
        </w:rPr>
      </w:pPr>
      <w:r>
        <w:rPr>
          <w:rFonts w:ascii="仿宋_GB2312" w:hAnsi="仿宋_GB2312" w:cs="仿宋_GB2312" w:hint="eastAsia"/>
          <w:b/>
          <w:bCs/>
          <w:color w:val="auto"/>
          <w:sz w:val="32"/>
          <w:highlight w:val="none"/>
          <w:lang w:eastAsia="zh-CN"/>
        </w:rPr>
        <w:t xml:space="preserve">2</w:t>
      </w:r>
      <w:r>
        <w:rPr>
          <w:rFonts w:ascii="仿宋_GB2312" w:hAnsi="仿宋_GB2312" w:cs="仿宋_GB2312" w:hint="eastAsia"/>
          <w:b/>
          <w:bCs/>
          <w:color w:val="auto"/>
          <w:sz w:val="32"/>
          <w:highlight w:val="none"/>
        </w:rPr>
        <w:t xml:space="preserve">．</w:t>
      </w:r>
      <w:r>
        <w:rPr>
          <w:rFonts w:ascii="仿宋_GB2312" w:hAnsi="仿宋_GB2312" w:cs="仿宋_GB2312" w:hint="eastAsia"/>
          <w:b/>
          <w:bCs/>
          <w:color w:val="auto"/>
          <w:sz w:val="32"/>
          <w:highlight w:val="none"/>
          <w:lang w:val="en-US" w:eastAsia="zh-CN"/>
        </w:rPr>
        <w:t xml:space="preserve">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eastAsia="zh-CN"/>
        </w:rPr>
      </w:pPr>
      <w:r>
        <w:rPr>
          <w:rFonts w:ascii="仿宋_GB2312" w:hAnsi="仿宋_GB2312" w:cs="仿宋_GB2312" w:hint="eastAsia"/>
          <w:color w:val="auto"/>
          <w:sz w:val="32"/>
          <w:highlight w:val="none"/>
          <w:lang w:val="en-US" w:eastAsia="zh-CN"/>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在对全市公务接待活动经费项目的深入调研基础上，按照《项目支出绩效评价管理办法》（财预〔2021〕10号）对于指标体系的要求和规范，建立一套适合评价全市公务接待活动经费项目的指标体系，从项目决策、项目过程、项目产出和项目绩效四个维度全面考察全市公务接待活动经费项目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eastAsia="仿宋_GB2312" w:hAnsi="仿宋" w:hint="eastAsia"/>
          <w:color w:val="auto"/>
          <w:sz w:val="32"/>
          <w:szCs w:val="32"/>
          <w:highlight w:val="none"/>
        </w:rPr>
      </w:pPr>
      <w:r>
        <w:rPr>
          <w:rFonts w:ascii="仿宋_GB2312" w:hAnsi="仿宋_GB2312" w:cs="仿宋_GB2312" w:hint="eastAsia"/>
          <w:b/>
          <w:bCs/>
          <w:color w:val="auto"/>
          <w:sz w:val="32"/>
          <w:highlight w:val="none"/>
          <w:lang w:val="en-US" w:eastAsia="zh-CN"/>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预算编制科学性</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成本效益分析法</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资金使用合规性：文献法、实地勘察法，一是查找资金管理办法，包括专项资金管理办法和单位自有资金管理办法；二是通过查账了解具体开支情况，是否专用专用，是否按照标准支出。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left="0" w:firstLine="640" w:leftChars="0" w:firstLineChars="200"/>
        <w:contextualSpacing/>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绩效评价标准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hAnsi="仿宋_GB2312" w:cs="仿宋_GB2312" w:hint="eastAsia"/>
          <w:color w:val="auto"/>
          <w:sz w:val="32"/>
          <w:szCs w:val="24"/>
          <w:highlight w:val="none"/>
          <w:lang w:val="en-US" w:eastAsia="zh-CN" w:bidi="ar-SA"/>
        </w:rPr>
        <w:t xml:space="preserve">全市公务接待活动经费项目</w:t>
      </w:r>
      <w:r>
        <w:rPr>
          <w:rFonts w:ascii="仿宋_GB2312" w:eastAsia="仿宋_GB2312" w:hAnsi="仿宋_GB2312" w:cs="仿宋_GB2312" w:hint="eastAsia"/>
          <w:color w:val="auto"/>
          <w:sz w:val="32"/>
          <w:szCs w:val="24"/>
          <w:highlight w:val="none"/>
          <w:lang w:val="en-US" w:eastAsia="zh-CN" w:bidi="ar-SA"/>
        </w:rPr>
        <w:t xml:space="preserve">属于延续项目，</w:t>
      </w:r>
      <w:r>
        <w:rPr>
          <w:rFonts w:ascii="仿宋_GB2312" w:eastAsia="仿宋_GB2312" w:hAnsi="仿宋_GB2312" w:cs="仿宋_GB2312" w:hint="eastAsia"/>
          <w:b w:val="0"/>
          <w:bCs/>
          <w:color w:val="auto"/>
          <w:sz w:val="32"/>
          <w:szCs w:val="24"/>
          <w:highlight w:val="none"/>
          <w:lang w:val="en-US" w:eastAsia="zh-CN" w:bidi="ar-SA"/>
        </w:rPr>
        <w:t xml:space="preserve">有</w:t>
      </w:r>
      <w:r>
        <w:rPr>
          <w:rFonts w:ascii="仿宋_GB2312" w:eastAsia="仿宋_GB2312" w:hAnsi="仿宋_GB2312" w:cs="仿宋_GB2312" w:hint="eastAsia"/>
          <w:color w:val="auto"/>
          <w:sz w:val="32"/>
          <w:szCs w:val="24"/>
          <w:highlight w:val="none"/>
          <w:lang w:val="en-US" w:eastAsia="zh-CN" w:bidi="ar-SA"/>
        </w:rPr>
        <w:t xml:space="preserve">相应的行业标准和历史标准，故采用</w:t>
      </w:r>
      <w:r>
        <w:rPr>
          <w:rFonts w:ascii="仿宋_GB2312" w:eastAsia="仿宋_GB2312" w:hint="eastAsia"/>
          <w:color w:val="auto"/>
          <w:sz w:val="32"/>
          <w:highlight w:val="none"/>
        </w:rPr>
        <w:t xml:space="preserve">计划标准、行业标准、历史标准</w:t>
      </w:r>
      <w:r>
        <w:rPr>
          <w:rFonts w:ascii="仿宋_GB2312" w:eastAsia="仿宋_GB2312" w:hAnsi="仿宋_GB2312" w:cs="仿宋_GB2312" w:hint="eastAsia"/>
          <w:color w:val="auto"/>
          <w:sz w:val="32"/>
          <w:szCs w:val="24"/>
          <w:highlight w:val="none"/>
          <w:lang w:val="en-US" w:eastAsia="zh-CN" w:bidi="ar-SA"/>
        </w:rPr>
        <w:t xml:space="preserve">评价该项目。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firstLineChars="200"/>
        <w:contextualSpacing/>
        <w:textAlignment w:val="auto"/>
        <w:rPr>
          <w:rFonts w:ascii="楷体" w:eastAsia="楷体" w:hAnsi="楷体" w:cs="仿宋_GB2312" w:hint="eastAsia"/>
          <w:b/>
          <w:bCs/>
          <w:color w:val="auto"/>
          <w:sz w:val="32"/>
          <w:szCs w:val="24"/>
          <w:highlight w:val="none"/>
          <w:lang w:val="en-US" w:eastAsia="zh-CN" w:bidi="ar-SA"/>
        </w:rPr>
      </w:pPr>
      <w:r>
        <w:rPr>
          <w:rFonts w:ascii="楷体" w:eastAsia="楷体" w:hAnsi="楷体" w:cs="仿宋_GB2312" w:hint="eastAsia"/>
          <w:b/>
          <w:bCs/>
          <w:color w:val="auto"/>
          <w:sz w:val="32"/>
          <w:szCs w:val="24"/>
          <w:highlight w:val="none"/>
          <w:lang w:val="en-US" w:eastAsia="zh-CN" w:bidi="ar-SA"/>
        </w:rPr>
        <w:t xml:space="preserve">（三）绩效评价工作过程。</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left="600" w:leftChars="200"/>
        <w:contextualSpacing/>
        <w:textAlignment w:val="auto"/>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1．前期准备</w:t>
      </w:r>
    </w:p>
    <w:p>
      <w:pPr>
        <w:pStyle w:val="标题2"/>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务</w:t>
            </w:r>
          </w:p>
        </w:tc>
        <w:tc>
          <w:tcPr>
            <w:tcW w:w="3901"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托合提努尔·吾布力卡斯木</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唐湘川</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米热巴尼·艾尼江</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全市公务接待活动经费项目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2025年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组织管理、产出与效益效果。在此基础上，以相关的项目数据为基础，综合运用不同的评价方法，结合评价标准和评分规则，全市公务接待活动经费项目综合得分为87.17分，</w:t>
      </w:r>
      <w:r>
        <w:rPr>
          <w:rFonts w:ascii="仿宋_GB2312" w:eastAsia="仿宋_GB2312" w:hAnsi="Cambria" w:hint="eastAsia"/>
          <w:color w:val="auto"/>
          <w:sz w:val="32"/>
          <w:szCs w:val="32"/>
          <w:highlight w:val="none"/>
        </w:rPr>
        <w:t xml:space="preserve">评价结果为良。</w:t>
      </w:r>
    </w:p>
    <w:p>
      <w:pPr>
        <w:pStyle w:val="Bodytext|1"/>
        <w:spacing w:line="560" w:lineRule="exact"/>
        <w:ind w:firstLine="582" w:firstLineChars="182"/>
        <w:jc w:val="center"/>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全市公务接待活动经费项目评价得分情况</w:t>
      </w:r>
    </w:p>
    <w:p>
      <w:pPr>
        <w:pStyle w:val="Bodytext|1"/>
        <w:spacing w:line="560" w:lineRule="exact"/>
        <w:ind w:firstLine="582" w:firstLineChars="182"/>
        <w:jc w:val="center"/>
        <w:rPr>
          <w:rFonts w:ascii="仿宋_GB2312" w:eastAsia="仿宋_GB2312" w:hAnsi="仿宋_GB2312" w:cs="仿宋_GB2312" w:hint="eastAsia"/>
          <w:color w:val="auto"/>
          <w:sz w:val="32"/>
          <w:szCs w:val="32"/>
          <w:highlight w:val="none"/>
          <w:lang w:val="en-US" w:eastAsia="zh-CN" w:bidi="ar-SA"/>
        </w:rPr>
      </w:pPr>
      <w:r>
        <w:br w:type="page"/>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824"/>
          <w:jc w:val="center"/>
        </w:trPr>
        <w:tc>
          <w:tcPr>
            <w:tcW w:w="1447"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35"/>
          <w:jc w:val="center"/>
        </w:trPr>
        <w:tc>
          <w:tcPr>
            <w:tcW w:w="1447" w:type="dxa"/>
            <w:tcBorders>
              <w:top w:val="single" w:sz="4" w:space="0" w:color="auto"/>
              <w:left w:val="single" w:sz="4" w:space="0" w:color="auto"/>
            </w:tcBorders>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15.08</w:t>
            </w:r>
          </w:p>
        </w:tc>
        <w:tc>
          <w:tcPr>
            <w:tcW w:w="3866" w:type="dxa"/>
            <w:tcBorders>
              <w:top w:val="single" w:sz="4" w:space="0" w:color="auto"/>
              <w:left w:val="single" w:sz="4" w:space="0" w:color="auto"/>
              <w:right w:val="single" w:sz="4" w:space="0" w:color="auto"/>
            </w:tcBorders>
            <w:noWrap w:val="0"/>
            <w:vAlign w:val="bottom"/>
          </w:tcPr>
          <w:p>
            <w:pPr>
              <w:pStyle w:val="Other|1"/>
              <w:spacing w:line="560" w:lineRule="exact"/>
              <w:ind w:firstLine="0"/>
              <w:jc w:val="left"/>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项目预算执行率61.50%</w:t>
            </w:r>
          </w:p>
        </w:tc>
      </w:tr>
      <w:tr>
        <w:tblPrEx>
          <w:tblW w:w="9309" w:type="dxa"/>
          <w:tblLayout w:type="fixed"/>
          <w:tblCellMar>
            <w:top w:w="0" w:type="dxa"/>
            <w:left w:w="10" w:type="dxa"/>
            <w:bottom w:w="0" w:type="dxa"/>
            <w:right w:w="10" w:type="dxa"/>
          </w:tblCellMar>
        </w:tblPrEx>
        <w:trPr>
          <w:trHeight w:hRule="exact" w:val="857"/>
          <w:jc w:val="center"/>
        </w:trPr>
        <w:tc>
          <w:tcPr>
            <w:tcW w:w="1447"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19.10</w:t>
            </w:r>
          </w:p>
        </w:tc>
        <w:tc>
          <w:tcPr>
            <w:tcW w:w="3866" w:type="dxa"/>
            <w:tcBorders>
              <w:top w:val="single" w:sz="4" w:space="0" w:color="auto"/>
              <w:left w:val="single" w:sz="4" w:space="0" w:color="auto"/>
              <w:right w:val="single" w:sz="4" w:space="0" w:color="auto"/>
            </w:tcBorders>
            <w:noWrap w:val="0"/>
            <w:vAlign w:val="center"/>
          </w:tcPr>
          <w:p>
            <w:pPr>
              <w:pStyle w:val="Other|1"/>
              <w:spacing w:line="560" w:lineRule="exact"/>
              <w:ind w:firstLine="0"/>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未完成指标2个</w:t>
            </w: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hAnsi="仿宋_GB2312" w:cs="仿宋_GB2312" w:hint="eastAsia"/>
                <w:color w:val="auto"/>
                <w:sz w:val="32"/>
                <w:szCs w:val="32"/>
                <w:highlight w:val="none"/>
                <w:lang w:eastAsia="zh-CN"/>
              </w:rPr>
              <w:t xml:space="preserve">87.17</w:t>
            </w:r>
          </w:p>
        </w:tc>
        <w:tc>
          <w:tcPr>
            <w:tcW w:w="3866" w:type="dxa"/>
            <w:tcBorders>
              <w:top w:val="single" w:sz="4" w:space="0" w:color="auto"/>
              <w:left w:val="single" w:sz="4" w:space="0" w:color="auto"/>
              <w:bottom w:val="single" w:sz="4" w:space="0" w:color="auto"/>
              <w:right w:val="single" w:sz="4" w:space="0" w:color="auto"/>
            </w:tcBorders>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全市公务接待活动经费项目</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本项目共计支出61.5104万元，用于全市公务接待300次；通过实施本项目保障市政府合作交流中心工作正常开展。</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hAnsi="仿宋" w:cs="宋体" w:hint="eastAsia"/>
          <w:color w:val="auto"/>
          <w:kern w:val="0"/>
          <w:sz w:val="32"/>
          <w:szCs w:val="32"/>
          <w:highlight w:val="none"/>
          <w:lang w:val="en-US" w:eastAsia="zh-CN" w:bidi="ar-SA"/>
        </w:rPr>
        <w:t xml:space="preserve">全市公务接待活动经费项目</w:t>
      </w:r>
      <w:r>
        <w:rPr>
          <w:rFonts w:ascii="仿宋_GB2312" w:hAnsi="仿宋_GB2312" w:cs="仿宋_GB2312" w:hint="eastAsia"/>
          <w:color w:val="auto"/>
          <w:sz w:val="32"/>
          <w:szCs w:val="32"/>
          <w:highlight w:val="none"/>
        </w:rPr>
        <w:t xml:space="preserve">支出共计</w:t>
      </w:r>
      <w:r>
        <w:rPr>
          <w:rFonts w:ascii="仿宋_GB2312" w:hAnsi="仿宋_GB2312" w:cs="仿宋_GB2312" w:hint="eastAsia"/>
          <w:color w:val="auto"/>
          <w:sz w:val="32"/>
          <w:szCs w:val="32"/>
          <w:highlight w:val="none"/>
          <w:lang w:eastAsia="zh-CN"/>
        </w:rPr>
        <w:t xml:space="preserve">61.51万元</w:t>
      </w:r>
      <w:r>
        <w:rPr>
          <w:rFonts w:ascii="仿宋_GB2312" w:hAnsi="仿宋_GB2312" w:cs="仿宋_GB2312" w:hint="eastAsia"/>
          <w:color w:val="auto"/>
          <w:sz w:val="32"/>
          <w:szCs w:val="32"/>
          <w:highlight w:val="none"/>
        </w:rPr>
        <w:t xml:space="preserve">，评价得分值</w:t>
      </w:r>
      <w:r>
        <w:rPr>
          <w:rFonts w:ascii="仿宋_GB2312" w:hAnsi="仿宋_GB2312" w:cs="仿宋_GB2312" w:hint="eastAsia"/>
          <w:color w:val="auto"/>
          <w:sz w:val="32"/>
          <w:szCs w:val="32"/>
          <w:highlight w:val="none"/>
          <w:lang w:eastAsia="zh-CN"/>
        </w:rPr>
        <w:t xml:space="preserve">87.17</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w:t>
      </w:r>
      <w:r>
        <w:rPr>
          <w:rFonts w:ascii="仿宋_GB2312" w:hAnsi="仿宋" w:cs="宋体" w:hint="eastAsia"/>
          <w:color w:val="auto"/>
          <w:sz w:val="32"/>
          <w:szCs w:val="32"/>
          <w:highlight w:val="none"/>
          <w:lang w:val="en-US" w:eastAsia="zh-CN"/>
        </w:rPr>
        <w:t xml:space="preserve">严格</w:t>
      </w:r>
      <w:r>
        <w:rPr>
          <w:rFonts w:ascii="仿宋_GB2312" w:hAnsi="仿宋" w:cs="宋体" w:hint="eastAsia"/>
          <w:color w:val="auto"/>
          <w:sz w:val="32"/>
          <w:szCs w:val="32"/>
          <w:highlight w:val="none"/>
        </w:rPr>
        <w:t xml:space="preserve">按照规定的程序申请设立；审批文件、材料符合相关要求；项目前期已经过必要的可行性研究、风险评估、绩效评估、集体决策。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w:t>
      </w:r>
      <w:r>
        <w:rPr>
          <w:rFonts w:ascii="仿宋_GB2312" w:hAnsi="仿宋" w:cs="宋体" w:hint="eastAsia"/>
          <w:color w:val="auto"/>
          <w:sz w:val="32"/>
          <w:szCs w:val="32"/>
          <w:highlight w:val="none"/>
          <w:lang w:val="en-US" w:eastAsia="zh-CN"/>
        </w:rPr>
        <w:t xml:space="preserve">绩效目标</w:t>
      </w:r>
      <w:r>
        <w:rPr>
          <w:rFonts w:ascii="仿宋_GB2312" w:hAnsi="仿宋" w:cs="宋体" w:hint="eastAsia"/>
          <w:color w:val="auto"/>
          <w:sz w:val="32"/>
          <w:szCs w:val="32"/>
          <w:highlight w:val="none"/>
        </w:rPr>
        <w:t xml:space="preserve">与实际工作内容相关；项目预期产出效益和效果符合正常的业绩水平；</w:t>
      </w:r>
      <w:r>
        <w:rPr>
          <w:rFonts w:ascii="仿宋_GB2312" w:hAnsi="仿宋" w:cs="宋体" w:hint="eastAsia"/>
          <w:color w:val="auto"/>
          <w:sz w:val="32"/>
          <w:szCs w:val="32"/>
          <w:highlight w:val="none"/>
          <w:lang w:val="en-US" w:eastAsia="zh-CN"/>
        </w:rPr>
        <w:t xml:space="preserve">目标设置</w:t>
      </w:r>
      <w:r>
        <w:rPr>
          <w:rFonts w:ascii="仿宋_GB2312" w:hAnsi="仿宋" w:cs="宋体" w:hint="eastAsia"/>
          <w:color w:val="auto"/>
          <w:sz w:val="32"/>
          <w:szCs w:val="32"/>
          <w:highlight w:val="none"/>
        </w:rPr>
        <w:t xml:space="preserve">与预算确定的项目投资额或资金量相匹配。</w:t>
      </w:r>
      <w:r>
        <w:rPr>
          <w:rFonts w:ascii="仿宋_GB2312" w:hAnsi="仿宋" w:cs="宋体" w:hint="eastAsia"/>
          <w:color w:val="auto"/>
          <w:sz w:val="32"/>
          <w:szCs w:val="32"/>
          <w:highlight w:val="none"/>
          <w:lang w:val="en-US" w:eastAsia="zh-CN"/>
        </w:rPr>
        <w:t xml:space="preserve">严格按照要求</w:t>
      </w:r>
      <w:r>
        <w:rPr>
          <w:rFonts w:ascii="仿宋_GB2312" w:hAnsi="仿宋" w:cs="宋体" w:hint="eastAsia"/>
          <w:color w:val="auto"/>
          <w:sz w:val="32"/>
          <w:szCs w:val="32"/>
          <w:highlight w:val="none"/>
        </w:rPr>
        <w:t xml:space="preserve">将项目绩效目标细化分解为具体的绩效指标</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eastAsia="zh-CN"/>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r>
        <w:rPr>
          <w:rFonts w:ascii="仿宋_GB2312" w:hAnsi="仿宋" w:cs="宋体" w:hint="eastAsia"/>
          <w:color w:val="auto"/>
          <w:sz w:val="32"/>
          <w:szCs w:val="32"/>
          <w:highlight w:val="none"/>
          <w:lang w:eastAsia="zh-CN"/>
        </w:rPr>
        <w:t xml:space="preserve">。</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及时支付，资金使用符合国家法规和财务管理制度；资金拨付有完整的审批程序和手续，符合项目预算批复或合同规定的用途；</w:t>
      </w:r>
      <w:r>
        <w:rPr>
          <w:rFonts w:ascii="仿宋_GB2312" w:hAnsi="仿宋" w:cs="宋体" w:hint="eastAsia"/>
          <w:color w:val="auto"/>
          <w:sz w:val="32"/>
          <w:szCs w:val="32"/>
          <w:highlight w:val="none"/>
          <w:lang w:val="en-US" w:eastAsia="zh-CN"/>
        </w:rPr>
        <w:t xml:space="preserve">不</w:t>
      </w:r>
      <w:r>
        <w:rPr>
          <w:rFonts w:ascii="仿宋_GB2312" w:hAnsi="仿宋" w:cs="宋体" w:hint="eastAsia"/>
          <w:color w:val="auto"/>
          <w:sz w:val="32"/>
          <w:szCs w:val="32"/>
          <w:highlight w:val="none"/>
        </w:rPr>
        <w:t xml:space="preserve">存在截留、挤占、挪用、虚列支出等情况。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w:t>
      </w: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5年</w:t>
      </w:r>
      <w:r>
        <w:rPr>
          <w:rFonts w:ascii="仿宋_GB2312" w:hAnsi="仿宋_GB2312" w:cs="仿宋_GB2312" w:hint="eastAsia"/>
          <w:color w:val="auto"/>
          <w:sz w:val="32"/>
          <w:szCs w:val="32"/>
          <w:highlight w:val="none"/>
          <w:lang w:eastAsia="zh-CN"/>
        </w:rPr>
        <w:t xml:space="preserve">全市公务接待活动经费项目</w:t>
      </w:r>
      <w:r>
        <w:rPr>
          <w:rFonts w:ascii="仿宋_GB2312" w:hAnsi="仿宋_GB2312" w:cs="仿宋_GB2312" w:hint="eastAsia"/>
          <w:color w:val="auto"/>
          <w:sz w:val="32"/>
          <w:szCs w:val="32"/>
          <w:highlight w:val="none"/>
        </w:rPr>
        <w:t xml:space="preserve">预算依据</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继而进行该项目支出预算的编制、执行和上报等工作。在项目预算的编制工程中，坚持履行政府职能方面的轻重缓急程度进行先后排序，坚持对</w:t>
      </w:r>
      <w:r>
        <w:rPr>
          <w:rFonts w:ascii="仿宋_GB2312" w:hAnsi="仿宋_GB2312" w:cs="仿宋_GB2312" w:hint="eastAsia"/>
          <w:color w:val="auto"/>
          <w:sz w:val="32"/>
          <w:szCs w:val="32"/>
          <w:highlight w:val="none"/>
          <w:lang w:eastAsia="zh-CN"/>
        </w:rPr>
        <w:t xml:space="preserve">全市公务接待活动经费项目</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w:t>
      </w:r>
      <w:r>
        <w:rPr>
          <w:rFonts w:ascii="仿宋_GB2312" w:hAnsi="仿宋_GB2312" w:cs="仿宋_GB2312" w:hint="eastAsia"/>
          <w:color w:val="auto"/>
          <w:sz w:val="32"/>
          <w:szCs w:val="32"/>
          <w:highlight w:val="none"/>
          <w:lang w:val="en-US" w:eastAsia="zh-CN"/>
        </w:rPr>
        <w:t xml:space="preserve">阿图什市</w:t>
      </w:r>
      <w:r>
        <w:rPr>
          <w:rFonts w:ascii="仿宋_GB2312" w:hAnsi="仿宋_GB2312" w:cs="仿宋_GB2312" w:hint="eastAsia"/>
          <w:color w:val="auto"/>
          <w:sz w:val="32"/>
          <w:szCs w:val="32"/>
          <w:highlight w:val="none"/>
        </w:rPr>
        <w:t xml:space="preserve">财政局从资金申请、资金使用、会计核算三个环节加强资金管理。在项目资金申请环节，负责科室严格按照国库集中支付流程向市财政局申请财政资金，我局通过召开党组会议确定</w:t>
      </w:r>
      <w:r>
        <w:rPr>
          <w:rFonts w:ascii="仿宋_GB2312" w:hAnsi="仿宋_GB2312" w:cs="仿宋_GB2312" w:hint="eastAsia"/>
          <w:color w:val="auto"/>
          <w:sz w:val="32"/>
          <w:szCs w:val="32"/>
          <w:highlight w:val="none"/>
          <w:lang w:eastAsia="zh-CN"/>
        </w:rPr>
        <w:t xml:space="preserve">全市公务接待活动经费项目</w:t>
      </w:r>
      <w:r>
        <w:rPr>
          <w:rFonts w:ascii="仿宋_GB2312" w:hAnsi="仿宋_GB2312" w:cs="仿宋_GB2312" w:hint="eastAsia"/>
          <w:color w:val="auto"/>
          <w:sz w:val="32"/>
          <w:szCs w:val="32"/>
          <w:highlight w:val="none"/>
        </w:rPr>
        <w:t xml:space="preserve">组织形式，明确了该项目经费的开支范围为用于全市公务接待300次，严格做到专款专用，责任到人。在资金使用环节，严格遵守相关规定，严格按照我局资金财务审批流程办理款项支付。在会计核算环节，对本项目资金实际单独核算，确保</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年初财政批复的</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（4）依照财政资金管理制度，按照不定期检查与项目周期检查相结合的方式，对</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资金的使用情况进行监督检查。重点督查专项资金的使用进度，资金落实情况，对发现的问题，采取措施及时纠正、强化管理，有效杜绝了</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资金在分配使用过程中的违纪违规现象的发生，确保</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全市公务接待活动经费项目</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（三）项目产出情况</w:t>
      </w:r>
    </w:p>
    <w:p>
      <w:pPr>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数量指标为全市公务接待次数，预期指标值为大于等于300次，实际完成值为300次，指标达到预期目标。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2．</w:t>
      </w:r>
      <w:r>
        <w:rPr>
          <w:rFonts w:ascii="仿宋_GB2312" w:hint="eastAsia"/>
          <w:b/>
          <w:bCs w:val="0"/>
          <w:color w:val="auto"/>
          <w:sz w:val="32"/>
          <w:szCs w:val="32"/>
          <w:highlight w:val="none"/>
        </w:rPr>
        <w:t xml:space="preserve">质量指标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质量指标为工作质量达标率，预期指标值为等于100%，实际完成值为100%，指标达到预期目标。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资金使用合规率，预期指标值为等于100%，实际完成值为61.50%，指标未达到预期目标。原因：根据实际产生的费用进行支出，因此指标完成情况存在偏差；措施：下一年度做好项目管理，提高工作执行进度，减少偏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3．</w:t>
      </w:r>
      <w:r>
        <w:rPr>
          <w:rFonts w:ascii="仿宋_GB2312" w:hint="eastAsia"/>
          <w:b/>
          <w:color w:val="auto"/>
          <w:sz w:val="32"/>
          <w:szCs w:val="32"/>
          <w:highlight w:val="none"/>
        </w:rPr>
        <w:t xml:space="preserve">时效指标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时效指标为项目结束时间，预期指标值为2024年12月，实际完成值为2024年12月，指标达到预期目标。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600" w:firstLine="640" w:leftChars="200" w:firstLineChars="200"/>
        <w:jc w:val="both"/>
        <w:textAlignment w:val="auto"/>
        <w:rPr>
          <w:rFonts w:ascii="仿宋_GB2312"/>
          <w:color w:val="auto"/>
          <w:sz w:val="32"/>
          <w:szCs w:val="32"/>
          <w:highlight w:val="none"/>
        </w:rPr>
      </w:pPr>
    </w:p>
    <w:p>
      <w:pPr>
        <w:keepNext w:val="0"/>
        <w:keepLines w:val="0"/>
        <w:pageBreakBefore w:val="0"/>
        <w:widowControl w:val="0"/>
        <w:kinsoku/>
        <w:wordWrap/>
        <w:overflowPunct/>
        <w:topLinePunct w:val="0"/>
        <w:autoSpaceDE/>
        <w:bidi w:val="0"/>
        <w:spacing w:line="560" w:lineRule="exact"/>
        <w:ind w:firstLine="640" w:firstLineChars="200"/>
        <w:jc w:val="both"/>
        <w:textAlignment w:val="auto"/>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ascii="仿宋_GB2312" w:hint="eastAsia"/>
          <w:color w:val="auto"/>
          <w:sz w:val="32"/>
          <w:szCs w:val="32"/>
          <w:highlight w:val="none"/>
        </w:rPr>
        <w:t xml:space="preserve">经济成本指标为全市公务接待成本，预期指标值为小于等于0.30万元/次，实际完成值为0.3万元/次，指标未达到预期目标。原因：根据实际产生的费用进行支出，因此指标完成情况存在偏差；措施：下一年度做好项目管理，提高工作执行进度，减少偏差。</w:t>
      </w:r>
    </w:p>
    <w:p>
      <w:pPr>
        <w:pageBreakBefore w:val="0"/>
        <w:widowControl w:val="0"/>
        <w:kinsoku/>
        <w:wordWrap/>
        <w:overflowPunct/>
        <w:topLinePunct w:val="0"/>
        <w:autoSpaceDE/>
        <w:bidi w:val="0"/>
        <w:spacing w:line="560" w:lineRule="exact"/>
        <w:ind w:firstLine="640" w:firstLineChars="200"/>
        <w:jc w:val="both"/>
        <w:textAlignment w:val="auto"/>
        <w:rPr>
          <w:rFonts w:ascii="楷体" w:eastAsia="楷体" w:hAnsi="楷体" w:cs="宋体"/>
          <w:b/>
          <w:bCs w:val="0"/>
          <w:color w:val="auto"/>
          <w:sz w:val="32"/>
          <w:szCs w:val="32"/>
          <w:highlight w:val="none"/>
        </w:rPr>
      </w:pPr>
      <w:r>
        <w:rPr>
          <w:rFonts w:ascii="楷体" w:eastAsia="楷体" w:hAnsi="楷体" w:cs="宋体" w:hint="eastAsia"/>
          <w:b/>
          <w:bCs w:val="0"/>
          <w:color w:val="auto"/>
          <w:sz w:val="32"/>
          <w:szCs w:val="32"/>
          <w:highlight w:val="none"/>
        </w:rPr>
        <w:t xml:space="preserve">（四）项目效益情况</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Ansi="仿宋" w:cs="宋体" w:hint="eastAsia"/>
          <w:bCs/>
          <w:color w:val="auto"/>
          <w:sz w:val="32"/>
          <w:szCs w:val="32"/>
          <w:highlight w:val="none"/>
          <w:lang w:eastAsia="zh-CN"/>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bCs/>
          <w:color w:val="auto"/>
          <w:sz w:val="32"/>
          <w:szCs w:val="32"/>
          <w:highlight w:val="none"/>
        </w:rPr>
      </w:pPr>
      <w:r>
        <w:rPr>
          <w:rFonts w:ascii="仿宋_GB2312" w:hAnsi="仿宋" w:cs="宋体" w:hint="eastAsia"/>
          <w:bCs/>
          <w:color w:val="auto"/>
          <w:sz w:val="32"/>
          <w:szCs w:val="32"/>
          <w:highlight w:val="none"/>
        </w:rPr>
        <w:t xml:space="preserve">社会效益指标为保障公务接待工作正常开展，预期指标值为有效保障，实际完成值为有效保障，指标达到预期目标。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Ansi="仿宋" w:cs="宋体" w:hint="default"/>
          <w:bCs/>
          <w:color w:val="auto"/>
          <w:sz w:val="32"/>
          <w:szCs w:val="32"/>
          <w:highlight w:val="none"/>
          <w:lang w:val="en-US" w:eastAsia="zh-CN"/>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4．满意度指标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满意度指标为工作人员满意度，预期指标值为大于等于100%，</w:t>
      </w:r>
      <w:r>
        <w:rPr>
          <w:rFonts w:ascii="仿宋_GB2312" w:hAnsi="仿宋" w:cs="宋体" w:hint="eastAsia"/>
          <w:bCs/>
          <w:color w:val="auto"/>
          <w:sz w:val="32"/>
          <w:szCs w:val="32"/>
          <w:highlight w:val="none"/>
        </w:rPr>
        <w:t xml:space="preserve">经问卷调查，</w:t>
      </w:r>
      <w:r>
        <w:rPr>
          <w:rFonts w:ascii="仿宋_GB2312" w:hAnsi="仿宋" w:cs="宋体" w:hint="eastAsia"/>
          <w:bCs/>
          <w:color w:val="auto"/>
          <w:sz w:val="32"/>
          <w:szCs w:val="32"/>
          <w:highlight w:val="none"/>
        </w:rPr>
        <w:t xml:space="preserve">实际完成值为100%，指标达到预期目标。</w:t>
      </w:r>
    </w:p>
    <w:p>
      <w:pPr>
        <w:pStyle w:val="Heading4"/>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黑体" w:eastAsia="黑体" w:hAnsi="黑体" w:cs="仿宋_GB2312" w:hint="eastAsia"/>
          <w:b w:val="0"/>
          <w:bCs w:val="0"/>
          <w:color w:val="auto"/>
          <w:kern w:val="2"/>
          <w:sz w:val="32"/>
          <w:szCs w:val="32"/>
          <w:highlight w:val="none"/>
          <w:lang w:val="en-US" w:eastAsia="zh-CN" w:bidi="ar-SA"/>
        </w:rPr>
      </w:pPr>
      <w:r>
        <w:rPr>
          <w:rFonts w:ascii="黑体" w:eastAsia="黑体" w:hAnsi="黑体" w:cs="仿宋_GB2312" w:hint="default"/>
          <w:b w:val="0"/>
          <w:bCs w:val="0"/>
          <w:color w:val="auto"/>
          <w:kern w:val="2"/>
          <w:sz w:val="32"/>
          <w:szCs w:val="32"/>
          <w:highlight w:val="none"/>
          <w:lang w:val="en-US" w:eastAsia="zh-CN" w:bidi="ar-SA"/>
        </w:rPr>
        <w:t xml:space="preserve">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本项目实施效果较好的原因主要是管理制度完善、责任落实到位，跟踪考核机制完善且运行有效，在项目实施过程中创新管理办法，采用成本效益分析法、比较法、最低成本法使项目取得了良好的效果。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color w:val="auto"/>
          <w:sz w:val="32"/>
          <w:highlight w:val="none"/>
          <w:lang w:val="en-US" w:eastAsia="zh-CN"/>
        </w:rPr>
      </w:pPr>
      <w:r>
        <w:rPr>
          <w:rFonts w:hint="eastAsia"/>
          <w:color w:val="auto"/>
          <w:sz w:val="32"/>
          <w:highlight w:val="none"/>
        </w:rPr>
        <w:t xml:space="preserve">本项目全年预算数</w:t>
      </w:r>
      <w:r>
        <w:rPr>
          <w:rFonts w:hint="eastAsia"/>
          <w:color w:val="auto"/>
          <w:sz w:val="32"/>
          <w:highlight w:val="none"/>
          <w:lang w:eastAsia="zh-CN"/>
        </w:rPr>
        <w:t xml:space="preserve">100万元</w:t>
      </w:r>
      <w:r>
        <w:rPr>
          <w:rFonts w:hint="eastAsia"/>
          <w:color w:val="auto"/>
          <w:sz w:val="32"/>
          <w:highlight w:val="none"/>
        </w:rPr>
        <w:t xml:space="preserve">，执行数</w:t>
      </w:r>
      <w:r>
        <w:rPr>
          <w:rFonts w:hint="eastAsia"/>
          <w:color w:val="auto"/>
          <w:sz w:val="32"/>
          <w:highlight w:val="none"/>
          <w:lang w:eastAsia="zh-CN"/>
        </w:rPr>
        <w:t xml:space="preserve">61.51万元</w:t>
      </w:r>
      <w:r>
        <w:rPr>
          <w:rFonts w:hint="eastAsia"/>
          <w:color w:val="auto"/>
          <w:sz w:val="32"/>
          <w:highlight w:val="none"/>
        </w:rPr>
        <w:t xml:space="preserve">，执行率</w:t>
      </w:r>
      <w:r>
        <w:rPr>
          <w:rFonts w:hint="eastAsia"/>
          <w:color w:val="auto"/>
          <w:sz w:val="32"/>
          <w:highlight w:val="none"/>
          <w:lang w:eastAsia="zh-CN"/>
        </w:rPr>
        <w:t xml:space="preserve">61.50%</w:t>
      </w:r>
      <w:r>
        <w:rPr>
          <w:rFonts w:hint="eastAsia"/>
          <w:color w:val="auto"/>
          <w:sz w:val="32"/>
          <w:highlight w:val="none"/>
        </w:rPr>
        <w:t xml:space="preserve">，绩效指标完成率</w:t>
      </w:r>
      <w:r>
        <w:rPr>
          <w:rFonts w:hint="eastAsia"/>
          <w:color w:val="auto"/>
          <w:sz w:val="32"/>
          <w:highlight w:val="none"/>
          <w:lang w:val="en-US" w:eastAsia="zh-CN"/>
        </w:rPr>
        <w:t xml:space="preserve">89.00%</w:t>
      </w:r>
      <w:r>
        <w:rPr>
          <w:rFonts w:hint="eastAsia"/>
          <w:color w:val="auto"/>
          <w:sz w:val="32"/>
          <w:highlight w:val="none"/>
        </w:rPr>
        <w:t xml:space="preserve">，偏差率</w:t>
      </w:r>
      <w:r>
        <w:rPr>
          <w:rFonts w:hint="eastAsia"/>
          <w:color w:val="auto"/>
          <w:sz w:val="32"/>
          <w:highlight w:val="none"/>
          <w:lang w:val="en-US" w:eastAsia="zh-CN"/>
        </w:rPr>
        <w:t xml:space="preserve">27.50%</w:t>
      </w:r>
      <w:r>
        <w:rPr>
          <w:rFonts w:hint="eastAsia"/>
          <w:color w:val="auto"/>
          <w:sz w:val="32"/>
          <w:highlight w:val="none"/>
        </w:rPr>
        <w:t xml:space="preserve">。偏差原因：</w:t>
      </w:r>
      <w:r>
        <w:rPr>
          <w:rFonts w:hint="eastAsia"/>
          <w:color w:val="auto"/>
          <w:sz w:val="32"/>
          <w:highlight w:val="none"/>
          <w:lang w:val="en-US" w:eastAsia="zh-CN"/>
        </w:rPr>
        <w:t xml:space="preserve">根据实际产生的费用进行支出，因此指标完成情况存在偏差。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color w:val="auto"/>
          <w:sz w:val="36"/>
          <w:szCs w:val="32"/>
          <w:highlight w:val="none"/>
        </w:rPr>
      </w:pPr>
      <w:r>
        <w:rPr>
          <w:rFonts w:hint="eastAsia"/>
          <w:color w:val="auto"/>
          <w:sz w:val="32"/>
          <w:highlight w:val="none"/>
          <w:lang w:val="en-US" w:eastAsia="zh-CN"/>
        </w:rPr>
        <w:t xml:space="preserve">质量指标“资金使用合规率”和经济成本指标“全市公务接待成本”指标未达到预期目标的原因为：根据实际产生的费用进行支出，因此指标完成情况存在偏差；下一步措施是下一年度将做好项目管理，提高工作执行进度，减少偏差。</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六、有关建议</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开展进度的跟踪，确保项目绩效目标的完成。规范程序，严格把关。进一步完善项目申报、审核、公示、审批等程序，做好项目信息公开，公开内容要及时、完整、真实，确保项目公平、公开、公正。</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七</w:t>
      </w:r>
      <w:r>
        <w:rPr>
          <w:rFonts w:ascii="黑体" w:eastAsia="黑体" w:hAnsi="黑体" w:hint="eastAsia"/>
          <w:b w:val="0"/>
          <w:bCs w:val="0"/>
          <w:color w:val="auto"/>
          <w:highlight w:val="none"/>
        </w:rPr>
        <w:t xml:space="preserve">、其他需要说明的问题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lang w:val="en-US" w:eastAsia="zh-CN"/>
        </w:rPr>
      </w:pPr>
      <w:r>
        <w:rPr>
          <w:rFonts w:hint="eastAsia"/>
          <w:color w:val="auto"/>
          <w:highlight w:val="none"/>
          <w:lang w:val="en-US" w:eastAsia="zh-CN"/>
        </w:rPr>
        <w:t xml:space="preserve">无。</w:t>
      </w:r>
    </w:p>
    <w:p>
      <w:pPr>
        <w:pStyle w:val="Heading3"/>
        <w:rPr>
          <w:rFonts w:hint="eastAsia"/>
          <w:color w:val="auto"/>
          <w:highlight w:val="none"/>
        </w:rPr>
      </w:pPr>
    </w:p>
    <w:p>
      <w:pPr>
        <w:spacing w:line="560" w:lineRule="exact"/>
        <w:rPr>
          <w:rFonts w:ascii="仿宋_GB2312" w:hAnsi="仿宋_GB2312" w:cs="仿宋_GB2312" w:hint="eastAsia"/>
          <w:color w:val="auto"/>
          <w:sz w:val="32"/>
          <w:szCs w:val="32"/>
          <w:highlight w:val="none"/>
        </w:rPr>
      </w:pPr>
      <w:r>
        <w:br w:type="page"/>
      </w: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3.08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7.20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3.63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0.26</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noWrap w:val="0"/>
            <w:vAlign w:val="center"/>
          </w:tcPr>
          <w:p>
            <w:pPr>
              <w:widowControl/>
              <w:spacing w:line="400" w:lineRule="exact"/>
              <w:jc w:val="center"/>
              <w:rPr>
                <w:rFonts w:ascii="仿宋_GB2312" w:eastAsia="仿宋_GB2312" w:hAnsi="仿宋_GB2312" w:cs="仿宋_GB2312" w:hint="eastAsia"/>
                <w:color w:val="auto"/>
                <w:kern w:val="0"/>
                <w:sz w:val="24"/>
                <w:highlight w:val="none"/>
                <w:lang w:eastAsia="zh-CN"/>
              </w:rPr>
            </w:pPr>
            <w:r>
              <w:rPr>
                <w:rFonts w:ascii="仿宋_GB2312" w:hAnsi="仿宋_GB2312" w:cs="仿宋_GB2312" w:hint="eastAsia"/>
                <w:color w:val="auto"/>
                <w:kern w:val="0"/>
                <w:sz w:val="24"/>
                <w:highlight w:val="none"/>
                <w:lang w:eastAsia="zh-CN"/>
              </w:rPr>
              <w:t xml:space="preserve">87.17</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qFormat="1"/>
    <w:lsdException w:name="heading 3" w:semiHidden="0" w:unhideWhenUsed="0" w:qFormat="1"/>
    <w:lsdException w:name="heading 4" w:semiHidden="0"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Char"/>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Char"/>
    <w:unhideWhenUsed/>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unhideWhenUsed/>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Char">
    <w:name w:val="标题 1 Char"/>
    <w:basedOn w:val="DefaultParagraphFont"/>
    <w:link w:val="Heading1"/>
    <w:rPr>
      <w:rFonts w:eastAsia="仿宋_GB2312"/>
      <w:b/>
      <w:bCs/>
      <w:kern w:val="44"/>
      <w:sz w:val="44"/>
      <w:szCs w:val="44"/>
    </w:rPr>
  </w:style>
  <w:style w:type="character" w:customStyle="1" w:styleId="标题2Char">
    <w:name w:val="标题 2 Char"/>
    <w:basedOn w:val="DefaultParagraphFont"/>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paragraph" w:customStyle="1" w:styleId="标题2">
    <w:name w:val="标题2"/>
    <w:basedOn w:val="Heading2"/>
    <w:qFormat/>
    <w:pPr>
      <w:numPr>
        <w:ilvl w:val="0"/>
        <w:numId w:val="4"/>
      </w:numPr>
      <w:spacing w:before="120" w:after="120" w:line="500" w:lineRule="exact"/>
    </w:pPr>
    <w:rPr>
      <w:rFonts w:ascii="仿宋_GB2312" w:eastAsia="仿宋_GB2312" w:cs="Times New Roman"/>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B68CB4D25A5F4F73A1335D992AA6D859_13</vt:lpwstr>
  </property>
  <property fmtid="{D5CDD505-2E9C-101B-9397-08002B2CF9AE}" pid="4" name="KSOTemplateDocerSaveRecord">
    <vt:lpwstr>eyJoZGlkIjoiNDI0NDJkOGYwMTkzMjYxMzMxMmY2Njg1ZjNkYzk2MzkiLCJ1c2VySWQiOiIzMzAyMjM5MTcifQ==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19</Pages>
  <Words>972</Words>
  <Characters>1027</Characters>
  <Application>WPS Office_12.1.0.15120_F1E327BC-269C-435d-A152-05C5408002CA</Application>
  <DocSecurity>0</DocSecurity>
  <Lines>56</Lines>
  <Paragraphs>15</Paragraphs>
  <Company>P R C</Company>
  <CharactersWithSpaces>1027</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62</cp:revision>
  <dcterms:created xsi:type="dcterms:W3CDTF">2020-05-07T10:25:00Z</dcterms:created>
  <dcterms:modified xsi:type="dcterms:W3CDTF">2025-09-05T07:54:32Z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B68CB4D25A5F4F73A1335D992AA6D859_13</vt:lpwstr>
  </property>
  <property fmtid="{D5CDD505-2E9C-101B-9397-08002B2CF9AE}" pid="4" name="KSOTemplateDocerSaveRecord">
    <vt:lpwstr>eyJoZGlkIjoiNDI0NDJkOGYwMTkzMjYxMzMxMmY2Njg1ZjNkYzk2MzkiLCJ1c2VySWQiOiIzMzAyMjM5MTcifQ_x003D__x003D_</vt:lpwstr>
  </property>
</Properties>
</file>