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全市公务接待活动经费项目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全市公务接待活动经费项目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阿图什市人民政府合作交流中心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阿图什市人民政府合作交流中心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全市公务接待活动经费项目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围绕党的中心工作，负责全面了解阿图什市经济</w:t>
      </w:r>
      <w:r>
        <w:rPr>
          <w:rFonts w:hint="eastAsia" w:ascii="仿宋_GB2312" w:hAnsi="仿宋" w:cs="宋体"/>
          <w:color w:val="auto"/>
          <w:sz w:val="32"/>
          <w:szCs w:val="32"/>
          <w:highlight w:val="none"/>
          <w:lang w:eastAsia="zh-CN"/>
        </w:rPr>
        <w:t>和</w:t>
      </w:r>
      <w:r>
        <w:rPr>
          <w:rFonts w:hint="eastAsia" w:ascii="仿宋_GB2312" w:hAnsi="仿宋" w:cs="宋体"/>
          <w:color w:val="auto"/>
          <w:sz w:val="32"/>
          <w:szCs w:val="32"/>
          <w:highlight w:val="none"/>
        </w:rPr>
        <w:t>社会发展情况,对阿图什市社会和经济发展进行研究调查，及时掌握动态提出意见和建议，推动阿图什市整体社会、经济发展，保障市政府合作交流中心正常运转，保障市政府办公室高效正常运转。本项目的立项依据为《市政府合作交流中心会议纪要》。</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根据《市政府合作交流中心会议纪要》,安排项目资金100万元，主要用于全市公务接待300次；通过项目的实施，保障市政府合作交流中心工作正常开展。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阿图什市人民政府合作交流中心</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阿图什市人民政府合作交流中心</w:t>
      </w:r>
      <w:r>
        <w:rPr>
          <w:rFonts w:hint="eastAsia" w:ascii="仿宋_GB2312" w:hAnsi="仿宋_GB2312" w:cs="仿宋_GB2312"/>
          <w:bCs/>
          <w:color w:val="auto"/>
          <w:sz w:val="32"/>
          <w:szCs w:val="30"/>
          <w:highlight w:val="none"/>
        </w:rPr>
        <w:t>，主要职责项目实施过程中严格按照实施方案进行实施并及时进行监督管理，项目实施后进行及时验收及后期管理。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本项目共计支出61.5104万元，用于全市公务接待300次；通过实施本项目保障市政府合作交流中心工作正常开展。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100万元</w:t>
      </w:r>
      <w:r>
        <w:rPr>
          <w:rStyle w:val="11"/>
          <w:rFonts w:hint="eastAsia" w:ascii="仿宋_GB2312" w:hAnsi="仿宋_GB2312" w:cs="仿宋_GB2312"/>
          <w:b w:val="0"/>
          <w:bCs w:val="0"/>
          <w:color w:val="auto"/>
          <w:spacing w:val="-4"/>
          <w:sz w:val="32"/>
          <w:szCs w:val="30"/>
          <w:highlight w:val="none"/>
        </w:rPr>
        <w:t>，资金来源为本级部门预算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61.51万元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61.50%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eastAsia="zh-CN"/>
        </w:rPr>
      </w:pPr>
      <w:r>
        <w:rPr>
          <w:rStyle w:val="11"/>
          <w:rFonts w:hint="eastAsia" w:ascii="仿宋_GB2312"/>
          <w:b w:val="0"/>
          <w:color w:val="auto"/>
          <w:spacing w:val="-4"/>
          <w:sz w:val="32"/>
          <w:highlight w:val="none"/>
        </w:rPr>
        <w:t>全市公务接待成本0.30万元/次</w:t>
      </w:r>
      <w:r>
        <w:rPr>
          <w:rStyle w:val="11"/>
          <w:rFonts w:hint="eastAsia" w:ascii="仿宋_GB2312"/>
          <w:b w:val="0"/>
          <w:color w:val="auto"/>
          <w:spacing w:val="-4"/>
          <w:sz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年度总体目标为：根据《市政府合作交流中心会议纪要》,安排项目资金100万元，主要用于全市公务接待300次；通过项目的实施，保障市政府合作交流中心工作正常开展。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阶段性目标为：根据《市政府合作交流中心会议纪要》,安排项目资金100万元，主要用于全市公务接待300次；通过项目的实施，保障市政府合作交流中心工作正常开展。</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全市公务接待活动经费项目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全市公务接待活动经费项目的深入调研基础上，按照《项目支出绩效评价管理办法》（财预〔2021〕10号）对于指标体系的要求和规范，建立一套适合评价全市公务接待活动经费项目的指标体系，从项目决策、项目过程、项目产出和项目绩效四个维度全面考察全市公务接待活动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全市公务接待活动经费项目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托合提努尔·吾布力卡斯木</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唐湘川</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米热巴尼·艾尼江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全市公务接待活动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组织管理、产出与效益效果。在此基础上，以相关的项目数据为基础，综合运用不同的评价方法，结合评价标准和评分规则，全市公务接待活动经费项目综合得分为87.17分，</w:t>
      </w:r>
      <w:r>
        <w:rPr>
          <w:rFonts w:hint="eastAsia" w:ascii="仿宋_GB2312" w:hAnsi="Cambria" w:eastAsia="仿宋_GB2312"/>
          <w:color w:val="auto"/>
          <w:sz w:val="32"/>
          <w:szCs w:val="32"/>
          <w:highlight w:val="none"/>
        </w:rPr>
        <w:t>评价结果为良。</w:t>
      </w:r>
    </w:p>
    <w:p>
      <w:pPr>
        <w:pStyle w:val="29"/>
        <w:spacing w:line="560" w:lineRule="exact"/>
        <w:ind w:firstLine="585" w:firstLineChars="182"/>
        <w:jc w:val="center"/>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全市公务接待活动经费项目评价得分情况</w:t>
      </w:r>
    </w:p>
    <w:p>
      <w:pPr>
        <w:pStyle w:val="29"/>
        <w:spacing w:line="560" w:lineRule="exact"/>
        <w:ind w:firstLine="546" w:firstLineChars="182"/>
        <w:jc w:val="center"/>
        <w:rPr>
          <w:rFonts w:hint="eastAsia" w:ascii="仿宋_GB2312" w:hAnsi="仿宋_GB2312" w:eastAsia="仿宋_GB2312" w:cs="仿宋_GB2312"/>
          <w:color w:val="auto"/>
          <w:sz w:val="32"/>
          <w:szCs w:val="32"/>
          <w:highlight w:val="none"/>
          <w:lang w:val="en-US" w:eastAsia="zh-CN" w:bidi="ar-SA"/>
        </w:rPr>
      </w:pPr>
      <w:r>
        <w:br w:type="page"/>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15.08</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项目预算执行率61.50%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19.10</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未完成指标2个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87.17</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全市公务接待活动经费项目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本项目共计支出61.5104万元，用于全市公务接待300次；通过实施本项目保障市政府合作交流中心工作正常开展。</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全市公务接待活动经费项目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61.51万元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87.17</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全市公务接待活动经费项目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全市公务接待活动经费项目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全市公务接待活动经费项目</w:t>
      </w:r>
      <w:r>
        <w:rPr>
          <w:rFonts w:hint="eastAsia" w:ascii="仿宋_GB2312" w:hAnsi="仿宋_GB2312" w:cs="仿宋_GB2312"/>
          <w:color w:val="auto"/>
          <w:sz w:val="32"/>
          <w:szCs w:val="32"/>
          <w:highlight w:val="none"/>
        </w:rPr>
        <w:t>组织形式，明确了该项目经费的开支范围为用于全市公务接待300次，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全市公务接待活动经费项目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数量指标为全市公务接待次数，预期指标值为大于等于300次，实际完成值为300次，指标达到预期目标。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为等于100%，实际完成值为61.50%，指标未达到预期目标。原因：根据实际产生的费用进行支出，因此指标完成情况存在偏差；措施：下一年度做好项目管理，提高工作执行进度，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时效指标为项目结束时间，预期指标值为2024年12月，实际完成值为2024年12月，指标达到预期目标。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全市公务接待成本，预期指标值为小于等于0.30万元/次，实际完成值为0.3万元/次，指标未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社会效益指标为保障公务接待工作正常开展，预期指标值为有效保障，实际完成值为有效保障，指标达到预期目标。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满意度指标为工作人员满意度，预期指标值为大于等于100%，经问卷调查，实际完成值为100%，指标达到预期目标。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本项目全年预算数</w:t>
      </w:r>
      <w:r>
        <w:rPr>
          <w:rFonts w:hint="eastAsia"/>
          <w:color w:val="auto"/>
          <w:sz w:val="32"/>
          <w:highlight w:val="none"/>
          <w:lang w:eastAsia="zh-CN"/>
        </w:rPr>
        <w:t>100万元</w:t>
      </w:r>
      <w:r>
        <w:rPr>
          <w:rFonts w:hint="eastAsia"/>
          <w:color w:val="auto"/>
          <w:sz w:val="32"/>
          <w:highlight w:val="none"/>
        </w:rPr>
        <w:t>，执行数</w:t>
      </w:r>
      <w:r>
        <w:rPr>
          <w:rFonts w:hint="eastAsia"/>
          <w:color w:val="auto"/>
          <w:sz w:val="32"/>
          <w:highlight w:val="none"/>
          <w:lang w:eastAsia="zh-CN"/>
        </w:rPr>
        <w:t>61.51万元</w:t>
      </w:r>
      <w:r>
        <w:rPr>
          <w:rFonts w:hint="eastAsia"/>
          <w:color w:val="auto"/>
          <w:sz w:val="32"/>
          <w:highlight w:val="none"/>
        </w:rPr>
        <w:t>，执行率</w:t>
      </w:r>
      <w:r>
        <w:rPr>
          <w:rFonts w:hint="eastAsia"/>
          <w:color w:val="auto"/>
          <w:sz w:val="32"/>
          <w:highlight w:val="none"/>
          <w:lang w:eastAsia="zh-CN"/>
        </w:rPr>
        <w:t>61.50%</w:t>
      </w:r>
      <w:r>
        <w:rPr>
          <w:rFonts w:hint="eastAsia"/>
          <w:color w:val="auto"/>
          <w:sz w:val="32"/>
          <w:highlight w:val="none"/>
        </w:rPr>
        <w:t>，绩效指标完成率</w:t>
      </w:r>
      <w:r>
        <w:rPr>
          <w:rFonts w:hint="eastAsia"/>
          <w:color w:val="auto"/>
          <w:sz w:val="32"/>
          <w:highlight w:val="none"/>
          <w:lang w:val="en-US" w:eastAsia="zh-CN"/>
        </w:rPr>
        <w:t>89.00%</w:t>
      </w:r>
      <w:r>
        <w:rPr>
          <w:rFonts w:hint="eastAsia"/>
          <w:color w:val="auto"/>
          <w:sz w:val="32"/>
          <w:highlight w:val="none"/>
        </w:rPr>
        <w:t>，偏差率</w:t>
      </w:r>
      <w:r>
        <w:rPr>
          <w:rFonts w:hint="eastAsia"/>
          <w:color w:val="auto"/>
          <w:sz w:val="32"/>
          <w:highlight w:val="none"/>
          <w:lang w:val="en-US" w:eastAsia="zh-CN"/>
        </w:rPr>
        <w:t>27.50%</w:t>
      </w:r>
      <w:r>
        <w:rPr>
          <w:rFonts w:hint="eastAsia"/>
          <w:color w:val="auto"/>
          <w:sz w:val="32"/>
          <w:highlight w:val="none"/>
        </w:rPr>
        <w:t>。偏差原因：</w:t>
      </w:r>
      <w:r>
        <w:rPr>
          <w:rFonts w:hint="eastAsia"/>
          <w:color w:val="auto"/>
          <w:sz w:val="32"/>
          <w:highlight w:val="none"/>
          <w:lang w:val="en-US" w:eastAsia="zh-CN"/>
        </w:rPr>
        <w:t>根据实际产生的费用进行支出，因此指标完成情况存在偏差。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lang w:val="en-US" w:eastAsia="zh-CN"/>
        </w:rPr>
        <w:t>质量指标“资金使用合规率”和经济成本指标“全市公务接待成本”指标未达到预期目标的原因为：根据实际产生的费用进行支出，因此指标完成情况存在偏差；下一步措施是下一年度将做好项目管理，提高工作执行进度，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bookmarkStart w:id="0" w:name="_GoBack"/>
      <w:bookmarkEnd w:id="0"/>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3.63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0.26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87.17</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CE1D3"/>
    <w:multiLevelType w:val="multilevel"/>
    <w:tmpl w:val="68CCE1D3"/>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CE1DE"/>
    <w:multiLevelType w:val="singleLevel"/>
    <w:tmpl w:val="68CCE1DE"/>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69D1D83"/>
    <w:rsid w:val="512E7A9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B68CB4D25A5F4F73A1335D992AA6D859_13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538125-46f7-46d0-bd7d-eb242201bed0}">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972</Words>
  <Characters>1027</Characters>
  <Lines>56</Lines>
  <Paragraphs>15</Paragraphs>
  <TotalTime>3</TotalTime>
  <ScaleCrop>false</ScaleCrop>
  <LinksUpToDate>false</LinksUpToDate>
  <CharactersWithSpaces>1027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2025-09-19T04:53:36Z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B68CB4D25A5F4F73A1335D992AA6D859_13</vt:lpwstr>
  </property>
  <property fmtid="{D5CDD505-2E9C-101B-9397-08002B2CF9AE}" pid="4" name="KSOTemplateDocerSaveRecord">
    <vt:lpwstr>eyJoZGlkIjoiNDI0NDJkOGYwMTkzMjYxMzMxMmY2Njg1ZjNkYzk2MzkiLCJ1c2VySWQiOiIzMzAyMjM5MTcifQ_x003D__x003D_</vt:lpwstr>
  </property>
</Properties>
</file>