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bCs/>
          <w:color w:val="auto"/>
          <w:kern w:val="0"/>
          <w:sz w:val="44"/>
          <w:szCs w:val="44"/>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bCs/>
          <w:color w:val="auto"/>
          <w:kern w:val="0"/>
          <w:sz w:val="44"/>
          <w:szCs w:val="44"/>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阿图什市新综合档案馆配套设施项目</w:t>
      </w: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方正小标宋_GBK" w:hAnsi="黑体" w:eastAsia="方正小标宋_GBK" w:cs="仿宋_GB2312"/>
          <w:color w:val="auto"/>
          <w:kern w:val="0"/>
          <w:sz w:val="44"/>
          <w:szCs w:val="44"/>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b/>
          <w:color w:val="auto"/>
          <w:kern w:val="0"/>
          <w:sz w:val="50"/>
          <w:szCs w:val="50"/>
          <w:highlight w:val="none"/>
          <w:lang w:bidi="en-US"/>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项目名称：阿图什市新综合档案馆配套设施项目</w:t>
      </w: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项目单位：中共阿图什市委员会办公室</w:t>
      </w: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主管部门：中共阿图什市委员会办公室</w:t>
      </w: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黑体" w:hAnsi="黑体" w:eastAsia="黑体" w:cs="仿宋_GB2312"/>
          <w:color w:val="auto"/>
          <w:kern w:val="0"/>
          <w:sz w:val="32"/>
          <w:szCs w:val="32"/>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ascii="黑体" w:hAnsi="黑体" w:eastAsia="黑体" w:cs="仿宋_GB2312"/>
          <w:color w:val="auto"/>
          <w:sz w:val="32"/>
          <w:szCs w:val="32"/>
          <w:highlight w:val="none"/>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仿宋_GB2312" w:hAnsi="仿宋_GB2312" w:cs="仿宋_GB2312"/>
          <w:color w:val="auto"/>
          <w:szCs w:val="30"/>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仿宋_GB2312" w:hAnsi="仿宋_GB2312" w:cs="仿宋_GB2312"/>
          <w:color w:val="auto"/>
          <w:szCs w:val="30"/>
          <w:highlight w:val="none"/>
        </w:rPr>
      </w:pPr>
    </w:p>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仿宋_GB2312" w:hAnsi="仿宋_GB2312" w:cs="仿宋_GB2312"/>
          <w:color w:val="auto"/>
          <w:szCs w:val="30"/>
          <w:highlight w:val="none"/>
        </w:rPr>
      </w:pP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阿图什市新综合档案馆配套设施项目</w:t>
      </w:r>
    </w:p>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keepNext w:val="0"/>
        <w:keepLines w:val="0"/>
        <w:pageBreakBefore w:val="0"/>
        <w:widowControl w:val="0"/>
        <w:kinsoku/>
        <w:wordWrap/>
        <w:overflowPunct/>
        <w:topLinePunct w:val="0"/>
        <w:autoSpaceDE/>
        <w:bidi w:val="0"/>
        <w:adjustRightInd/>
        <w:snapToGrid/>
        <w:spacing w:line="560" w:lineRule="exact"/>
        <w:contextualSpacing/>
        <w:jc w:val="left"/>
        <w:textAlignment w:val="auto"/>
        <w:rPr>
          <w:rFonts w:hint="eastAsia" w:ascii="仿宋_GB2312" w:hAnsi="仿宋_GB2312" w:cs="仿宋_GB2312"/>
          <w:color w:val="auto"/>
          <w:szCs w:val="30"/>
          <w:highlight w:val="none"/>
        </w:rPr>
      </w:pPr>
    </w:p>
    <w:p>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keepNext w:val="0"/>
        <w:keepLines w:val="0"/>
        <w:pageBreakBefore w:val="0"/>
        <w:widowControl w:val="0"/>
        <w:kinsoku/>
        <w:wordWrap/>
        <w:overflowPunct/>
        <w:topLinePunct w:val="0"/>
        <w:autoSpaceDE/>
        <w:bidi w:val="0"/>
        <w:adjustRightInd/>
        <w:snapToGrid/>
        <w:spacing w:line="560" w:lineRule="exact"/>
        <w:ind w:firstLine="803" w:firstLineChars="250"/>
        <w:jc w:val="left"/>
        <w:textAlignment w:val="auto"/>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keepNext w:val="0"/>
        <w:keepLines w:val="0"/>
        <w:pageBreakBefore w:val="0"/>
        <w:widowControl w:val="0"/>
        <w:kinsoku/>
        <w:wordWrap/>
        <w:overflowPunct/>
        <w:topLinePunct w:val="0"/>
        <w:autoSpaceDE/>
        <w:bidi w:val="0"/>
        <w:adjustRightInd/>
        <w:snapToGrid/>
        <w:spacing w:line="560" w:lineRule="exact"/>
        <w:ind w:firstLine="800" w:firstLineChars="250"/>
        <w:jc w:val="left"/>
        <w:textAlignment w:val="auto"/>
        <w:outlineLvl w:val="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阿图什市建市以来，市档案馆形成各种档案15.2万余卷册，保管条件差，已有字迹褪变等现象，其安全受到严重威胁。根据《中华人民共和国档案法》要求，各单位档案年满10年就必须向当地国家综合档案馆移交，但由于阿图什市新综合档案馆建成未投入使用，目前仅有120平方米的办公室和100平方米的简易档案库房，市档案馆无法接收，无法履行</w:t>
      </w:r>
      <w:r>
        <w:rPr>
          <w:rFonts w:hint="default" w:ascii="仿宋_GB2312" w:hAnsi="仿宋_GB2312" w:cs="仿宋_GB2312"/>
          <w:color w:val="auto"/>
          <w:sz w:val="32"/>
          <w:szCs w:val="32"/>
          <w:highlight w:val="none"/>
        </w:rPr>
        <w:t>《中华人民共和国档案法》</w:t>
      </w:r>
      <w:r>
        <w:rPr>
          <w:rFonts w:hint="eastAsia" w:ascii="仿宋_GB2312" w:hAnsi="仿宋_GB2312" w:cs="仿宋_GB2312"/>
          <w:color w:val="auto"/>
          <w:sz w:val="32"/>
          <w:szCs w:val="32"/>
          <w:highlight w:val="none"/>
        </w:rPr>
        <w:t>有关规定。阿图什市档案馆馆舍的缺乏，已远远不能满足当前实际工作需要，其弊端日渐显现</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不仅影响了档案馆正常工作的开展，制约档案保管事业的发展；还不利于内部管理，不利于服务群众</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新综合档案馆投入使用势在必行。阿图什市档案馆为了推动和提升档案保管工作整体效能，为阿图什市档案提供安全的储存场所，结合阿图什市总体规划及辖区实际情况，编制《阿图什市综合档案馆配套设施项目实施方案》，对项目所在地进行了档案馆人员编制、社会经济、工程建设条件、区域状况等实地调查。开展档案馆馆藏档案数字化工作不仅从根本上解决传统手工作业方式带来的各种问题，而且能更好地保护原始档案，促进档案信息化建设的快速发展，保障各种档案信息有效管理利用，为建设电子政务系统打下坚实基础。阿图什市档案馆主要负责辖区内各单位档案的收集、接收、保管、利用等工作，制定了《阿图什市档案馆规章制度》等各项制度，加强了对全馆工作人员的监督管理，实现了机关管理工作和业务工作的规范化和制度化。</w:t>
      </w:r>
    </w:p>
    <w:p>
      <w:pPr>
        <w:keepNext w:val="0"/>
        <w:keepLines w:val="0"/>
        <w:pageBreakBefore w:val="0"/>
        <w:widowControl w:val="0"/>
        <w:kinsoku/>
        <w:wordWrap/>
        <w:overflowPunct/>
        <w:topLinePunct w:val="0"/>
        <w:autoSpaceDE/>
        <w:bidi w:val="0"/>
        <w:adjustRightInd/>
        <w:snapToGrid/>
        <w:spacing w:line="560" w:lineRule="exact"/>
        <w:ind w:firstLine="803" w:firstLineChars="250"/>
        <w:jc w:val="left"/>
        <w:textAlignment w:val="auto"/>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keepNext w:val="0"/>
        <w:keepLines w:val="0"/>
        <w:pageBreakBefore w:val="0"/>
        <w:widowControl w:val="0"/>
        <w:kinsoku/>
        <w:wordWrap/>
        <w:overflowPunct/>
        <w:topLinePunct w:val="0"/>
        <w:autoSpaceDE/>
        <w:bidi w:val="0"/>
        <w:adjustRightInd/>
        <w:snapToGrid/>
        <w:spacing w:line="560" w:lineRule="exact"/>
        <w:ind w:firstLine="800" w:firstLineChars="250"/>
        <w:jc w:val="left"/>
        <w:textAlignment w:val="auto"/>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keepNext w:val="0"/>
        <w:keepLines w:val="0"/>
        <w:pageBreakBefore w:val="0"/>
        <w:widowControl w:val="0"/>
        <w:kinsoku/>
        <w:wordWrap/>
        <w:overflowPunct/>
        <w:topLinePunct w:val="0"/>
        <w:autoSpaceDE/>
        <w:bidi w:val="0"/>
        <w:adjustRightInd/>
        <w:snapToGrid/>
        <w:spacing w:line="560" w:lineRule="exact"/>
        <w:ind w:firstLine="800" w:firstLineChars="250"/>
        <w:jc w:val="left"/>
        <w:textAlignment w:val="auto"/>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keepNext w:val="0"/>
        <w:keepLines w:val="0"/>
        <w:pageBreakBefore w:val="0"/>
        <w:widowControl w:val="0"/>
        <w:kinsoku/>
        <w:wordWrap/>
        <w:overflowPunct/>
        <w:topLinePunct w:val="0"/>
        <w:autoSpaceDE/>
        <w:bidi w:val="0"/>
        <w:adjustRightInd/>
        <w:snapToGrid/>
        <w:spacing w:line="560" w:lineRule="exact"/>
        <w:ind w:firstLine="800" w:firstLineChars="250"/>
        <w:jc w:val="left"/>
        <w:textAlignment w:val="auto"/>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根据《阿图什市新综合档案馆配套设施项目实施方案》（克发改字〔2018〕60号）《国发投资〔2018〕123号》，安排项目资金148.2</w:t>
      </w:r>
      <w:r>
        <w:rPr>
          <w:rFonts w:ascii="仿宋_GB2312" w:hAnsi="仿宋_GB2312" w:cs="仿宋_GB2312"/>
          <w:color w:val="auto"/>
          <w:sz w:val="32"/>
          <w:szCs w:val="30"/>
          <w:highlight w:val="none"/>
        </w:rPr>
        <w:t>6</w:t>
      </w:r>
      <w:r>
        <w:rPr>
          <w:rFonts w:hint="eastAsia" w:ascii="仿宋_GB2312" w:hAnsi="仿宋_GB2312" w:cs="仿宋_GB2312"/>
          <w:color w:val="auto"/>
          <w:sz w:val="32"/>
          <w:szCs w:val="30"/>
          <w:highlight w:val="none"/>
        </w:rPr>
        <w:t>万元，主要用于档案馆新馆内部采购设备3批次；通过项目的实施确保日常业务工作正常开展，提高工作效率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0" w:firstLineChars="250"/>
        <w:jc w:val="left"/>
        <w:textAlignment w:val="auto"/>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0" w:firstLineChars="250"/>
        <w:jc w:val="left"/>
        <w:textAlignment w:val="auto"/>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实施主体：本项目的主管部门为中共阿图什市委员会办公室,实施单位为中共阿图什市委员会办公室，主要职责：</w:t>
      </w:r>
      <w:r>
        <w:rPr>
          <w:rFonts w:hint="eastAsia" w:ascii="仿宋_GB2312" w:hAnsi="仿宋_GB2312" w:cs="仿宋_GB2312"/>
          <w:color w:val="auto"/>
          <w:sz w:val="32"/>
          <w:szCs w:val="32"/>
          <w:highlight w:val="none"/>
        </w:rPr>
        <w:t>项目实施过程中严格按照实施方案进行实施并及时进行监督管理，项目实施后进行及时验收及后期管理</w:t>
      </w:r>
      <w:r>
        <w:rPr>
          <w:rFonts w:hint="eastAsia" w:ascii="仿宋_GB2312" w:hAnsi="仿宋_GB2312" w:cs="仿宋_GB2312"/>
          <w:bCs/>
          <w:color w:val="auto"/>
          <w:sz w:val="32"/>
          <w:szCs w:val="30"/>
          <w:highlight w:val="none"/>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0" w:firstLineChars="250"/>
        <w:jc w:val="left"/>
        <w:textAlignment w:val="auto"/>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ascii="仿宋_GB2312" w:hAnsi="仿宋_GB2312" w:cs="仿宋_GB2312"/>
          <w:bCs/>
          <w:color w:val="auto"/>
          <w:sz w:val="32"/>
          <w:szCs w:val="30"/>
          <w:highlight w:val="none"/>
        </w:rPr>
        <w:t>1</w:t>
      </w:r>
      <w:r>
        <w:rPr>
          <w:rFonts w:hint="eastAsia" w:ascii="仿宋_GB2312" w:hAnsi="仿宋_GB2312" w:cs="仿宋_GB2312"/>
          <w:bCs/>
          <w:color w:val="auto"/>
          <w:sz w:val="32"/>
          <w:szCs w:val="30"/>
          <w:highlight w:val="none"/>
        </w:rPr>
        <w:t>月-</w:t>
      </w:r>
      <w:r>
        <w:rPr>
          <w:rFonts w:ascii="仿宋_GB2312" w:hAnsi="仿宋_GB2312" w:cs="仿宋_GB2312"/>
          <w:bCs/>
          <w:color w:val="auto"/>
          <w:sz w:val="32"/>
          <w:szCs w:val="30"/>
          <w:highlight w:val="none"/>
        </w:rPr>
        <w:t>12</w:t>
      </w:r>
      <w:r>
        <w:rPr>
          <w:rFonts w:hint="eastAsia" w:ascii="仿宋_GB2312" w:hAnsi="仿宋_GB2312" w:cs="仿宋_GB2312"/>
          <w:bCs/>
          <w:color w:val="auto"/>
          <w:sz w:val="32"/>
          <w:szCs w:val="30"/>
          <w:highlight w:val="none"/>
        </w:rPr>
        <w:t>月</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实施结果：项目实施前进行充分调研，并制定项目实施方案，项目实施过程中严格按照实施方案进行实施并及时进行监督管理，项目实施后进行及时验收及后期维护。</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0" w:firstLineChars="250"/>
        <w:contextualSpacing/>
        <w:jc w:val="left"/>
        <w:textAlignment w:val="auto"/>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780" w:firstLineChars="250"/>
        <w:contextualSpacing/>
        <w:jc w:val="left"/>
        <w:textAlignment w:val="auto"/>
        <w:rPr>
          <w:rStyle w:val="13"/>
          <w:rFonts w:hint="eastAsia" w:ascii="仿宋_GB2312" w:hAnsi="仿宋_GB2312" w:cs="仿宋_GB2312"/>
          <w:b w:val="0"/>
          <w:bCs w:val="0"/>
          <w:color w:val="auto"/>
          <w:spacing w:val="-4"/>
          <w:sz w:val="32"/>
          <w:szCs w:val="30"/>
          <w:highlight w:val="none"/>
        </w:rPr>
      </w:pPr>
      <w:r>
        <w:rPr>
          <w:rStyle w:val="13"/>
          <w:rFonts w:hint="eastAsia" w:ascii="仿宋_GB2312" w:hAnsi="仿宋_GB2312" w:cs="仿宋_GB2312"/>
          <w:b w:val="0"/>
          <w:bCs w:val="0"/>
          <w:color w:val="auto"/>
          <w:spacing w:val="-4"/>
          <w:sz w:val="32"/>
          <w:szCs w:val="30"/>
          <w:highlight w:val="none"/>
        </w:rPr>
        <w:t>资金投入情况：本项目总投资</w:t>
      </w:r>
      <w:r>
        <w:rPr>
          <w:rStyle w:val="13"/>
          <w:rFonts w:ascii="仿宋_GB2312" w:hAnsi="仿宋_GB2312" w:cs="仿宋_GB2312"/>
          <w:b w:val="0"/>
          <w:bCs w:val="0"/>
          <w:color w:val="auto"/>
          <w:spacing w:val="-4"/>
          <w:sz w:val="32"/>
          <w:szCs w:val="30"/>
          <w:highlight w:val="none"/>
        </w:rPr>
        <w:t>148.26</w:t>
      </w:r>
      <w:r>
        <w:rPr>
          <w:rStyle w:val="13"/>
          <w:rFonts w:hint="eastAsia" w:ascii="仿宋_GB2312" w:hAnsi="仿宋_GB2312" w:cs="仿宋_GB2312"/>
          <w:b w:val="0"/>
          <w:bCs w:val="0"/>
          <w:color w:val="auto"/>
          <w:spacing w:val="-4"/>
          <w:sz w:val="32"/>
          <w:szCs w:val="30"/>
          <w:highlight w:val="none"/>
        </w:rPr>
        <w:t>万元，资金来源为本级部门预算资金。</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780" w:firstLineChars="250"/>
        <w:contextualSpacing/>
        <w:jc w:val="left"/>
        <w:textAlignment w:val="auto"/>
        <w:rPr>
          <w:rStyle w:val="13"/>
          <w:rFonts w:hint="eastAsia" w:ascii="仿宋_GB2312" w:hAnsi="仿宋_GB2312" w:cs="仿宋_GB2312"/>
          <w:b w:val="0"/>
          <w:color w:val="auto"/>
          <w:spacing w:val="-4"/>
          <w:sz w:val="32"/>
          <w:szCs w:val="30"/>
          <w:highlight w:val="none"/>
        </w:rPr>
      </w:pPr>
      <w:r>
        <w:rPr>
          <w:rStyle w:val="13"/>
          <w:rFonts w:hint="eastAsia" w:ascii="仿宋_GB2312" w:hAnsi="仿宋_GB2312" w:cs="仿宋_GB2312"/>
          <w:b w:val="0"/>
          <w:color w:val="auto"/>
          <w:spacing w:val="-4"/>
          <w:sz w:val="32"/>
          <w:szCs w:val="30"/>
          <w:highlight w:val="none"/>
        </w:rPr>
        <w:t>资金使用情况：根据项目实施情况，项目资金实际支付</w:t>
      </w:r>
      <w:r>
        <w:rPr>
          <w:rStyle w:val="13"/>
          <w:rFonts w:ascii="仿宋_GB2312" w:hAnsi="仿宋_GB2312" w:cs="仿宋_GB2312"/>
          <w:b w:val="0"/>
          <w:color w:val="auto"/>
          <w:spacing w:val="-4"/>
          <w:sz w:val="32"/>
          <w:szCs w:val="30"/>
          <w:highlight w:val="none"/>
        </w:rPr>
        <w:t>148.26</w:t>
      </w:r>
      <w:r>
        <w:rPr>
          <w:rStyle w:val="13"/>
          <w:rFonts w:hint="eastAsia" w:ascii="仿宋_GB2312" w:hAnsi="仿宋_GB2312" w:cs="仿宋_GB2312"/>
          <w:b w:val="0"/>
          <w:color w:val="auto"/>
          <w:spacing w:val="-4"/>
          <w:sz w:val="32"/>
          <w:szCs w:val="30"/>
          <w:highlight w:val="none"/>
        </w:rPr>
        <w:t>万元，资金执行率达到</w:t>
      </w:r>
      <w:r>
        <w:rPr>
          <w:rStyle w:val="13"/>
          <w:rFonts w:ascii="仿宋_GB2312" w:hAnsi="仿宋_GB2312" w:cs="仿宋_GB2312"/>
          <w:b w:val="0"/>
          <w:color w:val="auto"/>
          <w:spacing w:val="-4"/>
          <w:sz w:val="32"/>
          <w:szCs w:val="30"/>
          <w:highlight w:val="none"/>
        </w:rPr>
        <w:t>100</w:t>
      </w:r>
      <w:r>
        <w:rPr>
          <w:rStyle w:val="13"/>
          <w:rFonts w:hint="eastAsia" w:ascii="仿宋_GB2312" w:hAnsi="仿宋_GB2312" w:cs="仿宋_GB2312"/>
          <w:b w:val="0"/>
          <w:color w:val="auto"/>
          <w:spacing w:val="-4"/>
          <w:sz w:val="32"/>
          <w:szCs w:val="30"/>
          <w:highlight w:val="none"/>
        </w:rPr>
        <w:t>%。具体使用情况如下：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780" w:firstLineChars="250"/>
        <w:contextualSpacing/>
        <w:jc w:val="left"/>
        <w:textAlignment w:val="auto"/>
        <w:rPr>
          <w:rStyle w:val="13"/>
          <w:rFonts w:ascii="仿宋_GB2312"/>
          <w:b w:val="0"/>
          <w:color w:val="auto"/>
          <w:spacing w:val="-4"/>
          <w:sz w:val="32"/>
          <w:highlight w:val="none"/>
        </w:rPr>
      </w:pPr>
      <w:r>
        <w:rPr>
          <w:rStyle w:val="13"/>
          <w:rFonts w:hint="eastAsia" w:ascii="仿宋_GB2312"/>
          <w:b w:val="0"/>
          <w:color w:val="auto"/>
          <w:spacing w:val="-4"/>
          <w:sz w:val="32"/>
          <w:highlight w:val="none"/>
        </w:rPr>
        <w:t>档案馆新馆内部采购设备成本：1</w:t>
      </w:r>
      <w:r>
        <w:rPr>
          <w:rStyle w:val="13"/>
          <w:rFonts w:ascii="仿宋_GB2312"/>
          <w:b w:val="0"/>
          <w:color w:val="auto"/>
          <w:spacing w:val="-4"/>
          <w:sz w:val="32"/>
          <w:highlight w:val="none"/>
        </w:rPr>
        <w:t>48.26</w:t>
      </w:r>
      <w:r>
        <w:rPr>
          <w:rStyle w:val="13"/>
          <w:rFonts w:hint="eastAsia" w:ascii="仿宋_GB2312"/>
          <w:b w:val="0"/>
          <w:color w:val="auto"/>
          <w:spacing w:val="-4"/>
          <w:sz w:val="32"/>
          <w:highlight w:val="none"/>
        </w:rPr>
        <w:t>万元</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803" w:firstLineChars="250"/>
        <w:contextualSpacing/>
        <w:jc w:val="left"/>
        <w:textAlignment w:val="auto"/>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年度总体目标为：根据《阿图什市新综合档案馆配套设施项目实施方案》（克发改字〔2018〕60号）《国发投资〔2018〕123号》，安排项目资金148.2</w:t>
      </w:r>
      <w:r>
        <w:rPr>
          <w:rFonts w:ascii="仿宋_GB2312" w:hAnsi="仿宋_GB2312" w:cs="仿宋_GB2312"/>
          <w:color w:val="auto"/>
          <w:sz w:val="32"/>
          <w:highlight w:val="none"/>
        </w:rPr>
        <w:t>6</w:t>
      </w:r>
      <w:r>
        <w:rPr>
          <w:rFonts w:hint="eastAsia" w:ascii="仿宋_GB2312" w:hAnsi="仿宋_GB2312" w:cs="仿宋_GB2312"/>
          <w:color w:val="auto"/>
          <w:sz w:val="32"/>
          <w:highlight w:val="none"/>
        </w:rPr>
        <w:t>万元，主要用于档案馆新馆内部采购设备3批次；通过项目的实施确保日常业务工作正常开展，提高工作效率。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年阿图什市新综合档案馆配套设施项目从预算编制合理性、资金使用合规性、项目管理的规范性、实施情况、</w:t>
      </w:r>
      <w:r>
        <w:rPr>
          <w:rFonts w:hint="eastAsia" w:ascii="仿宋_GB2312" w:hAnsi="仿宋_GB2312" w:cs="仿宋_GB2312"/>
          <w:color w:val="auto"/>
          <w:sz w:val="32"/>
          <w:szCs w:val="32"/>
          <w:highlight w:val="none"/>
          <w:lang w:eastAsia="zh-CN"/>
        </w:rPr>
        <w:t>对</w:t>
      </w:r>
      <w:r>
        <w:rPr>
          <w:rFonts w:hint="eastAsia" w:ascii="仿宋_GB2312" w:hAnsi="仿宋_GB2312" w:cs="仿宋_GB2312"/>
          <w:color w:val="auto"/>
          <w:sz w:val="32"/>
          <w:szCs w:val="32"/>
          <w:highlight w:val="none"/>
        </w:rPr>
        <w:t>总体绩效目标、各项绩效指标完成情况以及预算执行情况进行科学性评价。</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阿图什市新综合档案馆配套设施项目的深入调研基础上，按照《项目支出绩效评价管理办法》（财预〔2021〕10号）对于指标体系的要求和规范，建立一套适合评价阿图什市新综合档案馆配套设施项目的指标体系，从项目决策、项目过程、项目产出和项目绩效四个维度全面考察阿图什市新综合档案馆配套设施项目资金的效益，并重点对于项目的产出和绩效进行总体分析，以达到通过指标体系的科学评价反思管理及决策问题的目标。（见附件1）</w:t>
      </w:r>
    </w:p>
    <w:p>
      <w:pPr>
        <w:keepNext w:val="0"/>
        <w:keepLines w:val="0"/>
        <w:pageBreakBefore w:val="0"/>
        <w:widowControl w:val="0"/>
        <w:numPr>
          <w:ilvl w:val="0"/>
          <w:numId w:val="2"/>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w:t>
      </w:r>
      <w:bookmarkStart w:id="0" w:name="_GoBack"/>
      <w:r>
        <w:rPr>
          <w:rFonts w:hint="eastAsia" w:ascii="仿宋_GB2312" w:hAnsi="仿宋_GB2312" w:cs="仿宋_GB2312"/>
          <w:color w:val="auto"/>
          <w:sz w:val="32"/>
          <w:highlight w:val="none"/>
        </w:rPr>
        <w:t>抽样</w:t>
      </w:r>
      <w:bookmarkEnd w:id="0"/>
      <w:r>
        <w:rPr>
          <w:rFonts w:hint="eastAsia" w:ascii="仿宋_GB2312" w:hAnsi="仿宋_GB2312" w:cs="仿宋_GB2312"/>
          <w:color w:val="auto"/>
          <w:sz w:val="32"/>
          <w:highlight w:val="none"/>
        </w:rPr>
        <w:t>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和</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keepNext w:val="0"/>
        <w:keepLines w:val="0"/>
        <w:pageBreakBefore w:val="0"/>
        <w:widowControl w:val="0"/>
        <w:numPr>
          <w:ilvl w:val="0"/>
          <w:numId w:val="2"/>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阿图什市新综合档案馆配套设施项目属于采购类项目，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left="600" w:leftChars="200"/>
        <w:contextualSpacing/>
        <w:jc w:val="left"/>
        <w:textAlignment w:val="auto"/>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pageBreakBefore w:val="0"/>
        <w:widowControl w:val="0"/>
        <w:numPr>
          <w:ilvl w:val="0"/>
          <w:numId w:val="0"/>
        </w:numPr>
        <w:kinsoku/>
        <w:wordWrap/>
        <w:overflowPunct/>
        <w:topLinePunct w:val="0"/>
        <w:autoSpaceDE/>
        <w:bidi w:val="0"/>
        <w:adjustRightInd/>
        <w:snapToGrid/>
        <w:spacing w:before="0" w:after="0" w:line="560" w:lineRule="exact"/>
        <w:ind w:firstLine="640" w:firstLineChars="200"/>
        <w:contextualSpacing/>
        <w:jc w:val="left"/>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568"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评价人</w:t>
            </w:r>
          </w:p>
        </w:tc>
        <w:tc>
          <w:tcPr>
            <w:tcW w:w="1827"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职务</w:t>
            </w:r>
          </w:p>
        </w:tc>
        <w:tc>
          <w:tcPr>
            <w:tcW w:w="3901"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姬文虎</w:t>
            </w:r>
          </w:p>
        </w:tc>
        <w:tc>
          <w:tcPr>
            <w:tcW w:w="1827"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评价组组长</w:t>
            </w:r>
          </w:p>
        </w:tc>
        <w:tc>
          <w:tcPr>
            <w:tcW w:w="3901"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于鲜花</w:t>
            </w:r>
          </w:p>
        </w:tc>
        <w:tc>
          <w:tcPr>
            <w:tcW w:w="1827"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评价组成员</w:t>
            </w:r>
          </w:p>
        </w:tc>
        <w:tc>
          <w:tcPr>
            <w:tcW w:w="3901"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rFonts w:hint="eastAsia"/>
                <w:b w:val="0"/>
                <w:bCs w:val="0"/>
                <w:color w:val="auto"/>
                <w:highlight w:val="none"/>
              </w:rPr>
            </w:pPr>
            <w:r>
              <w:rPr>
                <w:rFonts w:hint="eastAsia"/>
                <w:b w:val="0"/>
                <w:bCs w:val="0"/>
                <w:color w:val="auto"/>
                <w:highlight w:val="none"/>
              </w:rPr>
              <w:t>张丽莉</w:t>
            </w:r>
          </w:p>
        </w:tc>
        <w:tc>
          <w:tcPr>
            <w:tcW w:w="1827"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评价组成员</w:t>
            </w:r>
          </w:p>
        </w:tc>
        <w:tc>
          <w:tcPr>
            <w:tcW w:w="3901" w:type="dxa"/>
            <w:noWrap w:val="0"/>
            <w:vAlign w:val="center"/>
          </w:tcPr>
          <w:p>
            <w:pPr>
              <w:pStyle w:val="33"/>
              <w:keepNext w:val="0"/>
              <w:keepLines w:val="0"/>
              <w:pageBreakBefore w:val="0"/>
              <w:widowControl w:val="0"/>
              <w:numPr>
                <w:ilvl w:val="0"/>
                <w:numId w:val="0"/>
              </w:numPr>
              <w:kinsoku/>
              <w:wordWrap/>
              <w:overflowPunct/>
              <w:topLinePunct w:val="0"/>
              <w:autoSpaceDE/>
              <w:bidi w:val="0"/>
              <w:adjustRightInd/>
              <w:snapToGrid/>
              <w:spacing w:line="560" w:lineRule="exact"/>
              <w:contextualSpacing/>
              <w:jc w:val="left"/>
              <w:textAlignment w:val="auto"/>
              <w:rPr>
                <w:b w:val="0"/>
                <w:bCs w:val="0"/>
                <w:color w:val="auto"/>
                <w:highlight w:val="none"/>
              </w:rPr>
            </w:pPr>
            <w:r>
              <w:rPr>
                <w:rFonts w:hint="eastAsia"/>
                <w:b w:val="0"/>
                <w:bCs w:val="0"/>
                <w:color w:val="auto"/>
                <w:highlight w:val="none"/>
              </w:rPr>
              <w:t>出具项目绩效评价报告</w:t>
            </w:r>
          </w:p>
        </w:tc>
      </w:tr>
    </w:tbl>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新综合档案馆配套设施项目的内容和特征制定了评价指标体系及评价标准以及评价实施方案，修正并确定所需资料清单，最终确定实施方案。</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sz w:val="32"/>
          <w:szCs w:val="24"/>
          <w:lang w:val="en-US" w:eastAsia="zh-CN" w:bidi="ar-SA"/>
        </w:rPr>
        <w:t>202</w:t>
      </w:r>
      <w:r>
        <w:rPr>
          <w:rFonts w:ascii="仿宋_GB2312" w:hAnsi="仿宋_GB2312" w:eastAsia="仿宋_GB2312" w:cs="仿宋_GB2312"/>
          <w:sz w:val="32"/>
          <w:szCs w:val="24"/>
          <w:lang w:val="en-US" w:eastAsia="zh-CN" w:bidi="ar-SA"/>
        </w:rPr>
        <w:t>5</w:t>
      </w:r>
      <w:r>
        <w:rPr>
          <w:rFonts w:hint="eastAsia" w:ascii="仿宋_GB2312" w:hAnsi="仿宋_GB2312" w:eastAsia="仿宋_GB2312" w:cs="仿宋_GB2312"/>
          <w:sz w:val="32"/>
          <w:szCs w:val="24"/>
          <w:lang w:val="en-US" w:eastAsia="zh-CN" w:bidi="ar-SA"/>
        </w:rPr>
        <w:t>年4月1日-4月20日</w:t>
      </w:r>
      <w:r>
        <w:rPr>
          <w:rFonts w:hint="eastAsia" w:ascii="仿宋_GB2312" w:hAnsi="仿宋_GB2312" w:eastAsia="仿宋_GB2312" w:cs="仿宋_GB2312"/>
          <w:color w:val="auto"/>
          <w:sz w:val="32"/>
          <w:szCs w:val="24"/>
          <w:highlight w:val="none"/>
          <w:lang w:val="en-US" w:eastAsia="zh-CN" w:bidi="ar-SA"/>
        </w:rPr>
        <w:t>，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sz w:val="32"/>
          <w:szCs w:val="32"/>
          <w:lang w:val="en-US" w:eastAsia="zh-CN" w:bidi="ar-SA"/>
        </w:rPr>
        <w:t>202</w:t>
      </w:r>
      <w:r>
        <w:rPr>
          <w:rFonts w:ascii="仿宋_GB2312" w:hAnsi="仿宋_GB2312" w:eastAsia="仿宋_GB2312" w:cs="仿宋_GB2312"/>
          <w:sz w:val="32"/>
          <w:szCs w:val="32"/>
          <w:lang w:val="en-US" w:eastAsia="zh-CN" w:bidi="ar-SA"/>
        </w:rPr>
        <w:t>5</w:t>
      </w:r>
      <w:r>
        <w:rPr>
          <w:rFonts w:hint="eastAsia" w:ascii="仿宋_GB2312" w:hAnsi="仿宋_GB2312" w:eastAsia="仿宋_GB2312" w:cs="仿宋_GB2312"/>
          <w:sz w:val="32"/>
          <w:szCs w:val="32"/>
          <w:lang w:val="en-US" w:eastAsia="zh-CN" w:bidi="ar-SA"/>
        </w:rPr>
        <w:t>年</w:t>
      </w:r>
      <w:r>
        <w:rPr>
          <w:rFonts w:hint="eastAsia" w:ascii="仿宋_GB2312" w:hAnsi="仿宋_GB2312" w:eastAsia="仿宋_GB2312" w:cs="仿宋_GB2312"/>
          <w:sz w:val="32"/>
          <w:szCs w:val="24"/>
          <w:lang w:val="en-US" w:eastAsia="zh-CN" w:bidi="ar-SA"/>
        </w:rPr>
        <w:t>4</w:t>
      </w:r>
      <w:r>
        <w:rPr>
          <w:rFonts w:hint="eastAsia" w:ascii="仿宋_GB2312" w:hAnsi="仿宋_GB2312" w:eastAsia="仿宋_GB2312" w:cs="仿宋_GB2312"/>
          <w:sz w:val="32"/>
          <w:szCs w:val="32"/>
          <w:lang w:val="en-US" w:eastAsia="zh-CN" w:bidi="ar-SA"/>
        </w:rPr>
        <w:t>月</w:t>
      </w:r>
      <w:r>
        <w:rPr>
          <w:rFonts w:hint="eastAsia" w:ascii="仿宋_GB2312" w:hAnsi="仿宋_GB2312" w:eastAsia="仿宋_GB2312" w:cs="仿宋_GB2312"/>
          <w:sz w:val="32"/>
          <w:szCs w:val="24"/>
          <w:lang w:val="en-US" w:eastAsia="zh-CN" w:bidi="ar-SA"/>
        </w:rPr>
        <w:t>21</w:t>
      </w:r>
      <w:r>
        <w:rPr>
          <w:rFonts w:hint="eastAsia" w:ascii="仿宋_GB2312" w:hAnsi="仿宋_GB2312" w:eastAsia="仿宋_GB2312" w:cs="仿宋_GB2312"/>
          <w:sz w:val="32"/>
          <w:szCs w:val="32"/>
          <w:lang w:val="en-US" w:eastAsia="zh-CN" w:bidi="ar-SA"/>
        </w:rPr>
        <w:t>日-</w:t>
      </w:r>
      <w:r>
        <w:rPr>
          <w:rFonts w:hint="eastAsia" w:ascii="仿宋_GB2312" w:hAnsi="仿宋_GB2312" w:eastAsia="仿宋_GB2312" w:cs="仿宋_GB2312"/>
          <w:sz w:val="32"/>
          <w:szCs w:val="24"/>
          <w:lang w:val="en-US" w:eastAsia="zh-CN" w:bidi="ar-SA"/>
        </w:rPr>
        <w:t>5</w:t>
      </w:r>
      <w:r>
        <w:rPr>
          <w:rFonts w:hint="eastAsia" w:ascii="仿宋_GB2312" w:hAnsi="仿宋_GB2312" w:eastAsia="仿宋_GB2312" w:cs="仿宋_GB2312"/>
          <w:sz w:val="32"/>
          <w:szCs w:val="32"/>
          <w:lang w:val="en-US" w:eastAsia="zh-CN" w:bidi="ar-SA"/>
        </w:rPr>
        <w:t>月20日</w:t>
      </w:r>
      <w:r>
        <w:rPr>
          <w:rFonts w:hint="eastAsia" w:ascii="仿宋_GB2312" w:hAnsi="仿宋_GB2312" w:eastAsia="仿宋_GB2312" w:cs="仿宋_GB2312"/>
          <w:color w:val="auto"/>
          <w:sz w:val="32"/>
          <w:szCs w:val="32"/>
          <w:highlight w:val="none"/>
          <w:lang w:val="en-US" w:eastAsia="zh-CN" w:bidi="ar-SA"/>
        </w:rPr>
        <w:t>，评价组按照绩效评价的原则和规范，对取得的资料进行审查核实，对采集的数据进行分析，按照绩效评价指标评分表逐项进行打分、分析，汇总各方评价结果，综合分析并形成评价结论。</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keepNext w:val="0"/>
        <w:keepLines w:val="0"/>
        <w:pageBreakBefore w:val="0"/>
        <w:widowControl w:val="0"/>
        <w:tabs>
          <w:tab w:val="left" w:pos="1123"/>
        </w:tabs>
        <w:kinsoku/>
        <w:wordWrap/>
        <w:overflowPunct/>
        <w:topLinePunct w:val="0"/>
        <w:autoSpaceDE/>
        <w:bidi w:val="0"/>
        <w:adjustRightInd/>
        <w:snapToGrid/>
        <w:spacing w:line="560" w:lineRule="exact"/>
        <w:ind w:firstLine="641"/>
        <w:jc w:val="left"/>
        <w:textAlignment w:val="auto"/>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组织管理、产出与效益效果。在此基础上，以相关的项目数据为基础，综合运用不同的评价方法，结合评价标准和评分规则，阿图什市新综合档案馆配套设施项目综合得分为</w:t>
      </w:r>
      <w:r>
        <w:rPr>
          <w:rFonts w:ascii="仿宋_GB2312" w:hAnsi="仿宋_GB2312" w:eastAsia="仿宋_GB2312" w:cs="仿宋_GB2312"/>
          <w:color w:val="auto"/>
          <w:sz w:val="32"/>
          <w:szCs w:val="32"/>
          <w:highlight w:val="none"/>
          <w:lang w:val="en-US" w:eastAsia="zh-CN" w:bidi="ar-SA"/>
        </w:rPr>
        <w:t>100</w:t>
      </w:r>
      <w:r>
        <w:rPr>
          <w:rFonts w:hint="eastAsia" w:ascii="仿宋_GB2312" w:hAnsi="仿宋_GB2312" w:eastAsia="仿宋_GB2312" w:cs="仿宋_GB2312"/>
          <w:color w:val="auto"/>
          <w:sz w:val="32"/>
          <w:szCs w:val="32"/>
          <w:highlight w:val="none"/>
          <w:lang w:val="en-US" w:eastAsia="zh-CN" w:bidi="ar-SA"/>
        </w:rPr>
        <w:t>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年阿图什市新综合档案馆配套设施项目评价得分情况</w:t>
      </w:r>
    </w:p>
    <w:tbl>
      <w:tblPr>
        <w:tblStyle w:val="10"/>
        <w:tblW w:w="9309" w:type="dxa"/>
        <w:jc w:val="center"/>
        <w:tblLayout w:type="fixed"/>
        <w:tblCellMar>
          <w:top w:w="0" w:type="dxa"/>
          <w:left w:w="10" w:type="dxa"/>
          <w:bottom w:w="0" w:type="dxa"/>
          <w:right w:w="10" w:type="dxa"/>
        </w:tblCellMar>
      </w:tblPr>
      <w:tblGrid>
        <w:gridCol w:w="1447"/>
        <w:gridCol w:w="2045"/>
        <w:gridCol w:w="1951"/>
        <w:gridCol w:w="3866"/>
      </w:tblGrid>
      <w:tr>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left"/>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w:t>
            </w:r>
            <w:r>
              <w:rPr>
                <w:rFonts w:ascii="仿宋_GB2312" w:hAnsi="仿宋_GB2312" w:eastAsia="仿宋_GB2312" w:cs="仿宋_GB2312"/>
                <w:color w:val="auto"/>
                <w:sz w:val="32"/>
                <w:szCs w:val="32"/>
                <w:highlight w:val="none"/>
                <w:lang w:val="en-US" w:eastAsia="zh-CN" w:bidi="ar-SA"/>
              </w:rPr>
              <w:t>3</w:t>
            </w:r>
          </w:p>
        </w:tc>
        <w:tc>
          <w:tcPr>
            <w:tcW w:w="3866" w:type="dxa"/>
            <w:tcBorders>
              <w:top w:val="single" w:color="auto" w:sz="4" w:space="0"/>
              <w:left w:val="single" w:color="auto" w:sz="4" w:space="0"/>
              <w:right w:val="single" w:color="auto" w:sz="4" w:space="0"/>
            </w:tcBorders>
            <w:shd w:val="clear" w:color="auto" w:fill="FFFFFF"/>
            <w:noWrap w:val="0"/>
            <w:vAlign w:val="top"/>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38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w:t>
            </w:r>
            <w:r>
              <w:rPr>
                <w:rFonts w:ascii="仿宋_GB2312" w:hAnsi="仿宋_GB2312" w:eastAsia="仿宋_GB2312" w:cs="仿宋_GB2312"/>
                <w:color w:val="auto"/>
                <w:sz w:val="32"/>
                <w:szCs w:val="32"/>
                <w:highlight w:val="none"/>
                <w:lang w:val="en-US" w:eastAsia="zh-CN" w:bidi="ar-SA"/>
              </w:rPr>
              <w:t>7</w:t>
            </w:r>
          </w:p>
        </w:tc>
        <w:tc>
          <w:tcPr>
            <w:tcW w:w="3866" w:type="dxa"/>
            <w:tcBorders>
              <w:top w:val="single" w:color="auto" w:sz="4" w:space="0"/>
              <w:left w:val="single" w:color="auto" w:sz="4" w:space="0"/>
              <w:right w:val="single" w:color="auto" w:sz="4" w:space="0"/>
            </w:tcBorders>
            <w:shd w:val="clear" w:color="auto" w:fill="FFFFFF"/>
            <w:noWrap w:val="0"/>
            <w:vAlign w:val="bottom"/>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w:t>
            </w:r>
            <w:r>
              <w:rPr>
                <w:rFonts w:ascii="仿宋_GB2312" w:hAnsi="仿宋_GB2312" w:eastAsia="仿宋_GB2312" w:cs="仿宋_GB2312"/>
                <w:color w:val="auto"/>
                <w:sz w:val="32"/>
                <w:szCs w:val="32"/>
                <w:highlight w:val="none"/>
                <w:lang w:val="en-US" w:eastAsia="zh-CN" w:bidi="ar-SA"/>
              </w:rPr>
              <w:t>0</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w:t>
            </w:r>
            <w:r>
              <w:rPr>
                <w:rFonts w:ascii="仿宋_GB2312" w:hAnsi="仿宋_GB2312" w:eastAsia="仿宋_GB2312" w:cs="仿宋_GB2312"/>
                <w:color w:val="auto"/>
                <w:sz w:val="32"/>
                <w:szCs w:val="32"/>
                <w:highlight w:val="none"/>
                <w:lang w:val="en-US" w:eastAsia="zh-CN" w:bidi="ar-SA"/>
              </w:rPr>
              <w:t>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color w:val="auto"/>
                <w:sz w:val="32"/>
                <w:szCs w:val="32"/>
                <w:highlight w:val="none"/>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1"/>
              <w:keepNext w:val="0"/>
              <w:keepLines w:val="0"/>
              <w:pageBreakBefore w:val="0"/>
              <w:widowControl w:val="0"/>
              <w:kinsoku/>
              <w:wordWrap/>
              <w:overflowPunct/>
              <w:topLinePunct w:val="0"/>
              <w:autoSpaceDE/>
              <w:bidi w:val="0"/>
              <w:adjustRightInd/>
              <w:snapToGrid/>
              <w:spacing w:line="560" w:lineRule="exact"/>
              <w:ind w:firstLine="0"/>
              <w:contextualSpacing/>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w:t>
            </w:r>
            <w:r>
              <w:rPr>
                <w:rFonts w:ascii="仿宋_GB2312" w:hAnsi="仿宋_GB2312" w:eastAsia="仿宋_GB2312" w:cs="仿宋_GB2312"/>
                <w:color w:val="auto"/>
                <w:sz w:val="32"/>
                <w:szCs w:val="32"/>
                <w:highlight w:val="none"/>
                <w:lang w:val="en-US" w:eastAsia="zh-CN" w:bidi="ar-SA"/>
              </w:rPr>
              <w:t>00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560" w:lineRule="exact"/>
              <w:contextualSpacing/>
              <w:jc w:val="center"/>
              <w:textAlignment w:val="auto"/>
              <w:rPr>
                <w:rFonts w:hint="eastAsia" w:ascii="仿宋_GB2312" w:hAnsi="仿宋_GB2312" w:cs="仿宋_GB2312"/>
                <w:color w:val="auto"/>
                <w:sz w:val="32"/>
                <w:szCs w:val="32"/>
                <w:highlight w:val="none"/>
              </w:rPr>
            </w:pPr>
          </w:p>
        </w:tc>
      </w:tr>
    </w:tbl>
    <w:p>
      <w:pPr>
        <w:keepNext w:val="0"/>
        <w:keepLines w:val="0"/>
        <w:pageBreakBefore w:val="0"/>
        <w:widowControl w:val="0"/>
        <w:kinsoku/>
        <w:wordWrap/>
        <w:overflowPunct/>
        <w:topLinePunct w:val="0"/>
        <w:autoSpaceDE/>
        <w:bidi w:val="0"/>
        <w:adjustRightInd/>
        <w:snapToGrid/>
        <w:spacing w:line="560" w:lineRule="exact"/>
        <w:ind w:firstLine="482" w:firstLineChars="150"/>
        <w:contextualSpacing/>
        <w:jc w:val="left"/>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年阿图什市新综合档案馆配套设施项目资金达到了年初设立的绩效目标，在实施过程中取得了良好的成效，具体表现在以下几点：</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年已完成档案馆新馆内部采购设备3批次等工作；通过实施本项目，确保日常业务工作正常开展，提高工作效率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rPr>
        <w:t>阿图什市新综合档案馆配套设施项目</w:t>
      </w:r>
      <w:r>
        <w:rPr>
          <w:rFonts w:hint="eastAsia" w:ascii="仿宋_GB2312" w:hAnsi="仿宋_GB2312" w:cs="仿宋_GB2312"/>
          <w:color w:val="auto"/>
          <w:sz w:val="32"/>
          <w:szCs w:val="32"/>
          <w:highlight w:val="none"/>
        </w:rPr>
        <w:t>支出共计</w:t>
      </w:r>
      <w:r>
        <w:rPr>
          <w:rFonts w:ascii="仿宋_GB2312" w:hAnsi="仿宋_GB2312" w:cs="仿宋_GB2312"/>
          <w:color w:val="auto"/>
          <w:sz w:val="32"/>
          <w:szCs w:val="32"/>
          <w:highlight w:val="none"/>
        </w:rPr>
        <w:t>148.26</w:t>
      </w:r>
      <w:r>
        <w:rPr>
          <w:rFonts w:hint="eastAsia" w:ascii="仿宋_GB2312" w:hAnsi="仿宋_GB2312" w:cs="仿宋_GB2312"/>
          <w:color w:val="auto"/>
          <w:sz w:val="32"/>
          <w:szCs w:val="32"/>
          <w:highlight w:val="none"/>
        </w:rPr>
        <w:t>万元，评价得分值</w:t>
      </w:r>
      <w:r>
        <w:rPr>
          <w:rFonts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rPr>
        <w:t>分。</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keepNext w:val="0"/>
        <w:keepLines w:val="0"/>
        <w:pageBreakBefore w:val="0"/>
        <w:widowControl w:val="0"/>
        <w:kinsoku/>
        <w:wordWrap/>
        <w:overflowPunct/>
        <w:topLinePunct w:val="0"/>
        <w:autoSpaceDE/>
        <w:bidi w:val="0"/>
        <w:adjustRightInd/>
        <w:snapToGrid/>
        <w:spacing w:line="560" w:lineRule="exact"/>
        <w:ind w:firstLine="640"/>
        <w:jc w:val="left"/>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阿图什市新综合档案馆配套设施项目预算依据。继而进行该项目支出预算的编制、执行和上报等工作。在项目预算的编制工程中，坚持履行政府职能方面的轻重缓急程度进行先后排序，坚持对阿图什市新综合档案馆配套设施项目先进行论证，结合论证情况编制预算，最后由预算部门结合财力情况进行预算安排或追加。</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阿图什市新综合档案馆配套设施项目组织形式，明确了该项目经费的开支范围为阿图什市新综合档案馆配套设施资金，严格做到专款专用，责任到人。在资金使用环节，严格遵守相关规定，严格按照我局资金财务审批流程办理款项支付。在会计核算环节，对本项目资金实行单独核算，确保部门预算资金专款专用。</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w:t>
      </w:r>
      <w:r>
        <w:rPr>
          <w:rFonts w:hint="eastAsia" w:ascii="仿宋_GB2312" w:hAnsi="仿宋_GB2312" w:cs="仿宋_GB2312"/>
          <w:color w:val="auto"/>
          <w:sz w:val="32"/>
          <w:szCs w:val="32"/>
          <w:highlight w:val="none"/>
          <w:lang w:eastAsia="zh-CN"/>
        </w:rPr>
        <w:t>掌握</w:t>
      </w:r>
      <w:r>
        <w:rPr>
          <w:rFonts w:hint="eastAsia" w:ascii="仿宋_GB2312" w:hAnsi="仿宋_GB2312" w:cs="仿宋_GB2312"/>
          <w:color w:val="auto"/>
          <w:sz w:val="32"/>
          <w:szCs w:val="32"/>
          <w:highlight w:val="none"/>
        </w:rPr>
        <w:t>预算实时信息，通过不定期检查预算执行情况，增强预算指标刚性。</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阿图什市新综合档案馆配套设施项目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jc w:val="left"/>
        <w:textAlignment w:val="auto"/>
        <w:rPr>
          <w:rFonts w:hint="eastAsia" w:ascii="仿宋_GB2312"/>
          <w:color w:val="auto"/>
          <w:sz w:val="32"/>
          <w:szCs w:val="32"/>
          <w:highlight w:val="none"/>
        </w:rPr>
      </w:pPr>
      <w:r>
        <w:rPr>
          <w:rFonts w:hint="eastAsia" w:ascii="仿宋_GB2312"/>
          <w:color w:val="auto"/>
          <w:sz w:val="32"/>
          <w:szCs w:val="32"/>
          <w:highlight w:val="none"/>
        </w:rPr>
        <w:t>数量指标为档案馆新馆内部采购设备数量，预期指标值是大于等于3批次，实际完成值是等于3批次，指标达到预期目标。</w:t>
      </w:r>
    </w:p>
    <w:p>
      <w:pPr>
        <w:keepNext w:val="0"/>
        <w:keepLines w:val="0"/>
        <w:pageBreakBefore w:val="0"/>
        <w:widowControl w:val="0"/>
        <w:numPr>
          <w:ilvl w:val="0"/>
          <w:numId w:val="3"/>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jc w:val="left"/>
        <w:textAlignment w:val="auto"/>
        <w:rPr>
          <w:rFonts w:hint="eastAsia" w:ascii="仿宋_GB2312"/>
          <w:color w:val="auto"/>
          <w:sz w:val="32"/>
          <w:szCs w:val="32"/>
          <w:highlight w:val="none"/>
        </w:rPr>
      </w:pPr>
      <w:r>
        <w:rPr>
          <w:rFonts w:hint="eastAsia" w:ascii="仿宋_GB2312"/>
          <w:b/>
          <w:color w:val="auto"/>
          <w:sz w:val="32"/>
          <w:szCs w:val="32"/>
          <w:highlight w:val="none"/>
        </w:rPr>
        <w:t>质量指标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color w:val="auto"/>
          <w:sz w:val="32"/>
          <w:szCs w:val="32"/>
          <w:highlight w:val="none"/>
        </w:rPr>
      </w:pPr>
      <w:r>
        <w:rPr>
          <w:rFonts w:hint="eastAsia" w:ascii="仿宋_GB2312"/>
          <w:color w:val="auto"/>
          <w:sz w:val="32"/>
          <w:szCs w:val="32"/>
          <w:highlight w:val="none"/>
        </w:rPr>
        <w:t>质量指标为采购设备验收合格率，预期指标值是等于100%，实际完成值是等于100%，指标达到预期目标。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color w:val="auto"/>
          <w:sz w:val="32"/>
          <w:szCs w:val="32"/>
          <w:highlight w:val="none"/>
        </w:rPr>
        <w:t>质量指标为资金使用合规率，预期指标值是等于100%，实际完成值是等于100%，指标达到预期目标。</w:t>
      </w:r>
    </w:p>
    <w:p>
      <w:pPr>
        <w:keepNext w:val="0"/>
        <w:keepLines w:val="0"/>
        <w:pageBreakBefore w:val="0"/>
        <w:widowControl w:val="0"/>
        <w:numPr>
          <w:ilvl w:val="0"/>
          <w:numId w:val="3"/>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3" w:firstLineChars="200"/>
        <w:contextualSpacing/>
        <w:jc w:val="left"/>
        <w:textAlignment w:val="auto"/>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hint="eastAsia" w:ascii="仿宋_GB2312"/>
          <w:color w:val="auto"/>
          <w:sz w:val="32"/>
          <w:szCs w:val="32"/>
          <w:highlight w:val="none"/>
        </w:rPr>
      </w:pPr>
      <w:r>
        <w:rPr>
          <w:rFonts w:hint="eastAsia" w:ascii="仿宋_GB2312"/>
          <w:color w:val="auto"/>
          <w:sz w:val="32"/>
          <w:szCs w:val="32"/>
          <w:highlight w:val="none"/>
        </w:rPr>
        <w:t>时效指标为设备采购完成及时率，预期指标值是等于100%，实际完成值是等于100%，指标达到预期目标。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时效指标为项目完成时间，预期指标值是2024年12月，实际完成值是等于2024年12月，指标达到预期目标。</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color w:val="auto"/>
          <w:sz w:val="32"/>
          <w:szCs w:val="32"/>
          <w:highlight w:val="none"/>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指标为保障日常业务工作正常开展，预期指标值是有效保障，实际完成值是有效保障，指标达到预期目标。</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ascii="仿宋_GB2312"/>
          <w:color w:val="auto"/>
          <w:sz w:val="32"/>
          <w:szCs w:val="32"/>
          <w:highlight w:val="none"/>
        </w:rPr>
      </w:pPr>
      <w:r>
        <w:rPr>
          <w:rFonts w:hint="eastAsia" w:ascii="仿宋_GB2312"/>
          <w:color w:val="auto"/>
          <w:sz w:val="32"/>
          <w:szCs w:val="32"/>
          <w:highlight w:val="none"/>
        </w:rPr>
        <w:t>满意度指标为工作人员满意度，预期指标值是大于等于95%，实际完成值是等于95%，指标达到预期目标。</w:t>
      </w:r>
    </w:p>
    <w:p>
      <w:pPr>
        <w:pStyle w:val="5"/>
        <w:keepNext w:val="0"/>
        <w:keepLines w:val="0"/>
        <w:pageBreakBefore w:val="0"/>
        <w:widowControl w:val="0"/>
        <w:kinsoku/>
        <w:wordWrap/>
        <w:overflowPunct/>
        <w:topLinePunct w:val="0"/>
        <w:autoSpaceDE/>
        <w:bidi w:val="0"/>
        <w:adjustRightInd/>
        <w:snapToGrid/>
        <w:spacing w:before="0" w:beforeAutospacing="0" w:after="0" w:afterAutospacing="0" w:line="560" w:lineRule="exact"/>
        <w:ind w:firstLine="640" w:firstLineChars="200"/>
        <w:contextualSpacing/>
        <w:jc w:val="left"/>
        <w:textAlignment w:val="auto"/>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pageBreakBefore w:val="0"/>
        <w:widowControl w:val="0"/>
        <w:numPr>
          <w:ilvl w:val="0"/>
          <w:numId w:val="0"/>
        </w:numPr>
        <w:kinsoku/>
        <w:wordWrap/>
        <w:overflowPunct/>
        <w:topLinePunct w:val="0"/>
        <w:autoSpaceDE/>
        <w:bidi w:val="0"/>
        <w:adjustRightInd/>
        <w:snapToGrid/>
        <w:spacing w:before="0" w:after="0" w:line="560" w:lineRule="exact"/>
        <w:ind w:firstLine="640" w:firstLineChars="200"/>
        <w:contextualSpacing/>
        <w:jc w:val="left"/>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jc w:val="left"/>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jc w:val="left"/>
        <w:textAlignment w:val="auto"/>
        <w:rPr>
          <w:rFonts w:hint="eastAsia" w:ascii="楷体" w:hAnsi="楷体" w:eastAsia="楷体"/>
          <w:color w:val="auto"/>
          <w:sz w:val="36"/>
          <w:szCs w:val="32"/>
          <w:highlight w:val="none"/>
        </w:rPr>
      </w:pPr>
      <w:r>
        <w:rPr>
          <w:rFonts w:hint="eastAsia"/>
          <w:color w:val="auto"/>
          <w:sz w:val="32"/>
          <w:highlight w:val="none"/>
          <w:lang w:val="en-US" w:eastAsia="zh-CN"/>
        </w:rPr>
        <w:t>无</w:t>
      </w:r>
      <w:r>
        <w:rPr>
          <w:rFonts w:hint="eastAsia"/>
          <w:color w:val="auto"/>
          <w:sz w:val="32"/>
          <w:highlight w:val="none"/>
        </w:rPr>
        <w:t>。</w:t>
      </w:r>
    </w:p>
    <w:p>
      <w:pPr>
        <w:pStyle w:val="33"/>
        <w:keepNext w:val="0"/>
        <w:keepLines w:val="0"/>
        <w:pageBreakBefore w:val="0"/>
        <w:widowControl w:val="0"/>
        <w:numPr>
          <w:ilvl w:val="0"/>
          <w:numId w:val="0"/>
        </w:numPr>
        <w:kinsoku/>
        <w:wordWrap/>
        <w:overflowPunct/>
        <w:topLinePunct w:val="0"/>
        <w:autoSpaceDE/>
        <w:bidi w:val="0"/>
        <w:adjustRightInd/>
        <w:snapToGrid/>
        <w:spacing w:before="0" w:after="0" w:line="560" w:lineRule="exact"/>
        <w:ind w:firstLine="640" w:firstLineChars="200"/>
        <w:contextualSpacing/>
        <w:jc w:val="left"/>
        <w:textAlignment w:val="auto"/>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pageBreakBefore w:val="0"/>
        <w:widowControl w:val="0"/>
        <w:kinsoku/>
        <w:wordWrap/>
        <w:overflowPunct/>
        <w:topLinePunct w:val="0"/>
        <w:autoSpaceDE/>
        <w:bidi w:val="0"/>
        <w:adjustRightInd/>
        <w:snapToGrid/>
        <w:spacing w:before="0" w:after="0" w:line="560" w:lineRule="exact"/>
        <w:ind w:firstLine="640"/>
        <w:contextualSpacing/>
        <w:jc w:val="left"/>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3"/>
        <w:keepNext w:val="0"/>
        <w:keepLines w:val="0"/>
        <w:pageBreakBefore w:val="0"/>
        <w:widowControl w:val="0"/>
        <w:numPr>
          <w:ilvl w:val="0"/>
          <w:numId w:val="0"/>
        </w:numPr>
        <w:kinsoku/>
        <w:wordWrap/>
        <w:overflowPunct/>
        <w:topLinePunct w:val="0"/>
        <w:autoSpaceDE/>
        <w:bidi w:val="0"/>
        <w:adjustRightInd/>
        <w:snapToGrid/>
        <w:spacing w:before="0" w:after="0" w:line="560" w:lineRule="exact"/>
        <w:ind w:firstLine="640" w:firstLineChars="200"/>
        <w:contextualSpacing/>
        <w:jc w:val="left"/>
        <w:textAlignment w:val="auto"/>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pageBreakBefore w:val="0"/>
        <w:widowControl w:val="0"/>
        <w:kinsoku/>
        <w:wordWrap/>
        <w:overflowPunct/>
        <w:topLinePunct w:val="0"/>
        <w:autoSpaceDE/>
        <w:bidi w:val="0"/>
        <w:adjustRightInd/>
        <w:snapToGrid/>
        <w:spacing w:before="0" w:after="0" w:line="560" w:lineRule="exact"/>
        <w:ind w:firstLine="640"/>
        <w:contextualSpacing/>
        <w:jc w:val="left"/>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无。</w:t>
      </w:r>
    </w:p>
    <w:p>
      <w:pPr>
        <w:keepNext w:val="0"/>
        <w:keepLines w:val="0"/>
        <w:pageBreakBefore w:val="0"/>
        <w:widowControl w:val="0"/>
        <w:kinsoku/>
        <w:wordWrap/>
        <w:overflowPunct/>
        <w:topLinePunct w:val="0"/>
        <w:autoSpaceDE/>
        <w:bidi w:val="0"/>
        <w:adjustRightInd/>
        <w:snapToGrid/>
        <w:spacing w:line="560" w:lineRule="exact"/>
        <w:contextualSpacing/>
        <w:jc w:val="left"/>
        <w:textAlignment w:val="auto"/>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keepNext w:val="0"/>
        <w:keepLines w:val="0"/>
        <w:pageBreakBefore w:val="0"/>
        <w:widowControl w:val="0"/>
        <w:kinsoku/>
        <w:wordWrap/>
        <w:overflowPunct/>
        <w:topLinePunct w:val="0"/>
        <w:autoSpaceDE/>
        <w:bidi w:val="0"/>
        <w:adjustRightInd/>
        <w:snapToGrid/>
        <w:spacing w:line="560" w:lineRule="exact"/>
        <w:ind w:left="600" w:leftChars="200" w:firstLine="2240" w:firstLineChars="700"/>
        <w:contextualSpacing/>
        <w:jc w:val="left"/>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0"/>
        <w:tblW w:w="98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w:t>
            </w:r>
          </w:p>
        </w:tc>
        <w:tc>
          <w:tcPr>
            <w:tcW w:w="1478" w:type="dxa"/>
            <w:vMerge w:val="restart"/>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w:t>
            </w: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noWrap w:val="0"/>
            <w:vAlign w:val="center"/>
          </w:tcPr>
          <w:p>
            <w:pPr>
              <w:keepNext w:val="0"/>
              <w:keepLines w:val="0"/>
              <w:pageBreakBefore w:val="0"/>
              <w:widowControl w:val="0"/>
              <w:kinsoku/>
              <w:wordWrap/>
              <w:overflowPunct/>
              <w:topLinePunct w:val="0"/>
              <w:autoSpaceDE/>
              <w:bidi w:val="0"/>
              <w:adjustRightInd/>
              <w:snapToGrid/>
              <w:spacing w:line="400" w:lineRule="exact"/>
              <w:contextualSpacing/>
              <w:jc w:val="left"/>
              <w:textAlignment w:val="auto"/>
              <w:rPr>
                <w:rFonts w:hint="eastAsia" w:ascii="仿宋_GB2312" w:hAnsi="仿宋_GB2312" w:cs="仿宋_GB2312"/>
                <w:color w:val="auto"/>
                <w:kern w:val="0"/>
                <w:sz w:val="24"/>
                <w:highlight w:val="none"/>
              </w:rPr>
            </w:pPr>
            <w:r>
              <w:rPr>
                <w:rFonts w:ascii="仿宋_GB2312" w:hAnsi="仿宋_GB2312" w:cs="仿宋_GB2312"/>
                <w:color w:val="auto"/>
                <w:kern w:val="0"/>
                <w:sz w:val="24"/>
                <w:highlight w:val="none"/>
              </w:rPr>
              <w:t>100</w:t>
            </w:r>
          </w:p>
        </w:tc>
      </w:tr>
    </w:tbl>
    <w:p>
      <w:pPr>
        <w:keepNext w:val="0"/>
        <w:keepLines w:val="0"/>
        <w:pageBreakBefore w:val="0"/>
        <w:widowControl w:val="0"/>
        <w:kinsoku/>
        <w:wordWrap/>
        <w:overflowPunct/>
        <w:topLinePunct w:val="0"/>
        <w:autoSpaceDE/>
        <w:bidi w:val="0"/>
        <w:adjustRightInd/>
        <w:snapToGrid/>
        <w:spacing w:line="560" w:lineRule="exact"/>
        <w:contextualSpacing/>
        <w:textAlignment w:val="auto"/>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BD36305"/>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qFormat/>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qFormat/>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styleId="32">
    <w:name w:val="List Paragraph"/>
    <w:basedOn w:val="1"/>
    <w:qFormat/>
    <w:uiPriority w:val="34"/>
    <w:pPr>
      <w:ind w:firstLine="420" w:firstLineChars="200"/>
    </w:pPr>
    <w:rPr>
      <w:rFonts w:ascii="Calibri" w:hAnsi="Calibri" w:eastAsia="宋体" w:cs="Times New Roman"/>
      <w:sz w:val="21"/>
      <w:szCs w:val="21"/>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2EC2D9F99EB54C3081F7E542D589AA87_13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e89bf7a1-600f-401e-8c9e-287416cb9314}">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19</Pages>
  <Words>1367</Words>
  <Characters>7795</Characters>
  <Lines>64</Lines>
  <Paragraphs>18</Paragraphs>
  <TotalTime>7</TotalTime>
  <ScaleCrop>false</ScaleCrop>
  <LinksUpToDate>false</LinksUpToDate>
  <CharactersWithSpaces>9144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2026-01-07T11:31:55Z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2EC2D9F99EB54C3081F7E542D589AA87_13</vt:lpwstr>
  </property>
  <property fmtid="{D5CDD505-2E9C-101B-9397-08002B2CF9AE}" pid="4" name="KSOTemplateDocerSaveRecord">
    <vt:lpwstr>eyJoZGlkIjoiYzZkNzQ4ZWFiZmQ4NTRhOWRkZTk3YTMwMjlmMmZhYmUiLCJ1c2VySWQiOiI1NzgxMjU4NDIifQ_x003D__x003D_</vt:lpwstr>
  </property>
</Properties>
</file>