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垃圾清扫清运处置项目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项目名称：垃圾清扫清运处置项目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项目单位：阿图什市市政公用事业服务中心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主管部门：阿图什市市政公用事业服务中心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垃圾清扫清运处置项目支出绩效评价报告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2023年阿图什市城乡生活垃圾产生量为5.04万吨，其中城市生活垃圾产生量3.52万吨。此外，建筑垃圾产生量也较多，2023年达52.8万吨。随着生活水平提高，居民对生态环境质量要求</w:t>
      </w:r>
      <w:r>
        <w:rPr>
          <w:rFonts w:hint="eastAsia" w:ascii="仿宋_GB2312" w:hAnsi="仿宋_GB2312" w:cs="仿宋_GB2312"/>
          <w:color w:val="auto"/>
          <w:sz w:val="32"/>
          <w:szCs w:val="32"/>
          <w:highlight w:val="none"/>
          <w:lang w:val="en-US" w:eastAsia="zh-CN"/>
        </w:rPr>
        <w:t>逐渐</w:t>
      </w:r>
      <w:r>
        <w:rPr>
          <w:rFonts w:hint="eastAsia" w:ascii="仿宋_GB2312" w:hAnsi="仿宋_GB2312" w:cs="仿宋_GB2312"/>
          <w:color w:val="auto"/>
          <w:sz w:val="32"/>
          <w:szCs w:val="32"/>
          <w:highlight w:val="none"/>
        </w:rPr>
        <w:t>提升。阿图什市进行过环卫工作机械化清扫改造升级，以提升市容市貌，满足群众对宜居环境的需求。</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国家和地方政府出台了一系列关于环境保护和垃圾处理的政策法规，要求城市加强垃圾清扫处置工作，提高垃圾无害化处理率和资源化利用率，推动阿图什市实施相关项目。良好的城市环境是城市形象的重要体现。阿图什市通过实施城市垃圾清扫处置项目，有助于提升城市整体形象，增强城市吸引力和竞争力，促进经济社会发展。</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3944.268万元，其中：财政资金3944.268万元。引进第三方环卫公司1家，合理运用环卫工人，清扫车、洒水车、垃圾清运车等各类车辆，清扫阿图什市主次干道，清运市区垃圾，保证生活垃圾无害化填埋场正常运行，确保垃圾不堆积，及时进行无害化填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eastAsia="仿宋_GB2312" w:cs="仿宋_GB2312"/>
          <w:bCs/>
          <w:color w:val="auto"/>
          <w:sz w:val="32"/>
          <w:szCs w:val="30"/>
          <w:highlight w:val="none"/>
          <w:lang w:eastAsia="zh-CN"/>
        </w:rPr>
      </w:pPr>
      <w:r>
        <w:rPr>
          <w:rFonts w:hint="eastAsia" w:ascii="仿宋_GB2312" w:hAnsi="仿宋_GB2312" w:cs="仿宋_GB2312"/>
          <w:bCs/>
          <w:color w:val="auto"/>
          <w:sz w:val="32"/>
          <w:szCs w:val="30"/>
          <w:highlight w:val="none"/>
        </w:rPr>
        <w:t>实施主体：本项目的主管部门为阿图什市市政公用事业服务中心,实施单位为阿图什市市政公用事业服务中心，主要职责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贯彻执行国家、自治区、自治州、市有关园林绿化方面的法律法规、规章和有关政策。负责</w:t>
      </w:r>
      <w:r>
        <w:rPr>
          <w:rFonts w:hint="eastAsia" w:ascii="仿宋_GB2312" w:hAnsi="仿宋_GB2312" w:cs="仿宋_GB2312"/>
          <w:bCs/>
          <w:color w:val="auto"/>
          <w:sz w:val="32"/>
          <w:szCs w:val="30"/>
          <w:highlight w:val="none"/>
          <w:lang w:eastAsia="zh-CN"/>
        </w:rPr>
        <w:t>编制</w:t>
      </w:r>
      <w:r>
        <w:rPr>
          <w:rFonts w:hint="eastAsia" w:ascii="仿宋_GB2312" w:hAnsi="仿宋_GB2312" w:cs="仿宋_GB2312"/>
          <w:bCs/>
          <w:color w:val="auto"/>
          <w:sz w:val="32"/>
          <w:szCs w:val="30"/>
          <w:highlight w:val="none"/>
        </w:rPr>
        <w:t>城市市容环境卫生、园林绿化、市政基础设施、照明、供排水等市政管理方面的中长期规划和年度计划，经批准后组织实施和检查。负责组织市政公用事业、市容环境卫生、城市园林绿化有关新建、改建项目的立项、可行性研究、规划设计审查、竣工验收等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default" w:ascii="仿宋_GB2312" w:hAnsi="仿宋_GB2312" w:cs="仿宋_GB2312"/>
          <w:bCs/>
          <w:color w:val="auto"/>
          <w:sz w:val="32"/>
          <w:szCs w:val="30"/>
          <w:highlight w:val="none"/>
          <w:lang w:val="en-US" w:eastAsia="zh-CN"/>
        </w:rPr>
      </w:pPr>
      <w:r>
        <w:rPr>
          <w:rFonts w:hint="eastAsia" w:ascii="仿宋_GB2312" w:hAnsi="仿宋_GB2312" w:cs="仿宋_GB2312"/>
          <w:bCs/>
          <w:color w:val="auto"/>
          <w:sz w:val="32"/>
          <w:szCs w:val="30"/>
          <w:highlight w:val="none"/>
        </w:rPr>
        <w:t>本项目的实施符合《城市生活垃圾管理办法》（中华人民共和国建设部令第157号）,《城市市容和环境卫生管理条例》</w:t>
      </w:r>
      <w:r>
        <w:rPr>
          <w:rFonts w:hint="eastAsia" w:ascii="仿宋_GB2312" w:hAnsi="仿宋_GB2312" w:cs="仿宋_GB2312"/>
          <w:bCs/>
          <w:color w:val="auto"/>
          <w:sz w:val="32"/>
          <w:szCs w:val="30"/>
          <w:highlight w:val="none"/>
          <w:lang w:val="en-US" w:eastAsia="zh-CN"/>
        </w:rPr>
        <w:t>的</w:t>
      </w:r>
      <w:r>
        <w:rPr>
          <w:rFonts w:hint="eastAsia" w:ascii="仿宋_GB2312" w:hAnsi="仿宋_GB2312" w:cs="仿宋_GB2312"/>
          <w:bCs/>
          <w:color w:val="auto"/>
          <w:sz w:val="32"/>
          <w:szCs w:val="30"/>
          <w:highlight w:val="none"/>
        </w:rPr>
        <w:t>相关要求，</w:t>
      </w:r>
      <w:r>
        <w:rPr>
          <w:rFonts w:hint="eastAsia" w:ascii="仿宋_GB2312" w:hAnsi="仿宋_GB2312" w:cs="仿宋_GB2312"/>
          <w:bCs/>
          <w:color w:val="auto"/>
          <w:sz w:val="32"/>
          <w:szCs w:val="30"/>
          <w:highlight w:val="none"/>
          <w:lang w:val="en-US" w:eastAsia="zh-CN"/>
        </w:rPr>
        <w:t>2024年全年清运街道数量24条，清运小区数量115个，清运城市垃圾数量40516.7吨，环卫工人员124人；通过实施本项目清扫阿图什市主次干道，清运市区垃圾，保证生活垃圾无害化填埋场正常运行，确保垃圾不堆积，及时进行无害化填埋,</w:t>
      </w:r>
      <w:r>
        <w:rPr>
          <w:rFonts w:hint="eastAsia" w:ascii="仿宋_GB2312" w:hAnsi="仿宋_GB2312" w:cs="仿宋_GB2312"/>
          <w:color w:val="auto"/>
          <w:sz w:val="32"/>
          <w:szCs w:val="32"/>
          <w:highlight w:val="none"/>
        </w:rPr>
        <w:t>提升城市整体形象，增强城市吸引力和竞争力，促进经济社会发展。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资金投入情况：本项目总投资3944.26万元，资金来源为本级部门预算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资金使用情况：根据项目实施情况，项目资金实际支付1173.85万元，资金执行率达到</w:t>
      </w:r>
      <w:r>
        <w:rPr>
          <w:rStyle w:val="11"/>
          <w:rFonts w:hint="eastAsia" w:ascii="仿宋_GB2312" w:hAnsi="仿宋_GB2312" w:cs="仿宋_GB2312"/>
          <w:b w:val="0"/>
          <w:color w:val="auto"/>
          <w:spacing w:val="-4"/>
          <w:sz w:val="32"/>
          <w:szCs w:val="30"/>
          <w:highlight w:val="none"/>
          <w:lang w:val="en-US" w:eastAsia="zh-CN"/>
        </w:rPr>
        <w:t>29.8</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清运城市垃圾成本1122.0199万元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环卫工人员工资51.83万元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项目资金3944.268万元，其中：财政资金3944.268万元。引进第三方环卫公司1家，合理运用环卫工人，清扫车、洒水车、垃圾清运车等各类车辆，清扫阿图什市主次干道，清运市区垃圾，保证生活垃圾无害化填埋场正常运行，确保垃圾不堆积，及时进行无害化填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年垃圾清扫清运处置项目从预算编制合理性、资金使用合规性、项目管理的规范性、实施情况、总体绩效目标、各项绩效指标完成情况以及预算执行情况进行科学性评价。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垃圾清扫清运处置项目的深入调研基础上，按照《项目支出绩效评价管理办法》（财预〔2021〕10号）对于指标体系的要求和规范，建立一套适合评价垃圾清扫清运处置项目的指标体系，从项目决策、项目过程、项目产出和项目绩效四个维度全面考察垃圾清扫清运处置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垃圾清扫清运处置项目属于延续项目，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朱国祥</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李占营</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玛热古丽</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垃圾清扫清运处置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组织管理、产出与效益效果。在此基础上，以相关的项目数据为基础，综合运用不同的评价方法，结合评价标准和评分规则，垃圾清扫清运处置项目综合得分为86.78分，</w:t>
      </w:r>
      <w:r>
        <w:rPr>
          <w:rFonts w:hint="eastAsia" w:ascii="仿宋_GB2312" w:hAnsi="Cambria" w:eastAsia="仿宋_GB2312"/>
          <w:color w:val="auto"/>
          <w:sz w:val="32"/>
          <w:szCs w:val="32"/>
          <w:highlight w:val="none"/>
        </w:rPr>
        <w:t>评价结果为良。</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4年垃圾清扫清运处置项目评价得分情况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13.49</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预算执行率29.8%</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20.29</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6条指标未完成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86.78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年垃圾清扫清运处置项目资金达到了年初设立的绩效目标，在实施过程中取得了良好的成效，具体表现在以下几点：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城市生活垃圾管理办法》（中华人民共和国建设部令第157号）,《城市市容和环境卫生管理条例》的相关要求，2024年全年清运街道数量24条，清运小区数量115个，清运城市垃圾数量40516.7吨，环卫工人员124人；通过实施本项目清扫阿图什市主次干道，清运市区垃圾，保证生活垃圾无害化填埋场正常运行，确保垃圾不堆积，及时进行无害化填埋,提升城市整体形象，增强城市吸引力和竞争力，促进经济社会发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垃圾清扫清运处置项目</w:t>
      </w:r>
      <w:r>
        <w:rPr>
          <w:rFonts w:hint="eastAsia" w:ascii="仿宋_GB2312" w:hAnsi="仿宋_GB2312" w:cs="仿宋_GB2312"/>
          <w:color w:val="auto"/>
          <w:sz w:val="32"/>
          <w:szCs w:val="32"/>
          <w:highlight w:val="none"/>
        </w:rPr>
        <w:t>支出共计1173.85万元，评价得分值</w:t>
      </w:r>
      <w:r>
        <w:rPr>
          <w:rFonts w:hint="eastAsia" w:ascii="仿宋_GB2312" w:hAnsi="仿宋_GB2312" w:cs="仿宋_GB2312"/>
          <w:color w:val="auto"/>
          <w:sz w:val="32"/>
          <w:szCs w:val="32"/>
          <w:highlight w:val="none"/>
          <w:lang w:val="en-US" w:eastAsia="zh-CN"/>
        </w:rPr>
        <w:t>86.78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垃圾清扫清运处置项目预算依据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垃圾清扫清运处置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垃圾清扫清运处置项目组织形式，明确了该项目经费的开支范围为垃圾清扫清运处置</w:t>
      </w:r>
      <w:r>
        <w:rPr>
          <w:rFonts w:hint="eastAsia" w:ascii="仿宋_GB2312" w:hAnsi="仿宋_GB2312" w:cs="仿宋_GB2312"/>
          <w:color w:val="auto"/>
          <w:sz w:val="32"/>
          <w:szCs w:val="32"/>
          <w:highlight w:val="none"/>
          <w:lang w:val="en-US" w:eastAsia="zh-CN"/>
        </w:rPr>
        <w:t>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color w:val="auto"/>
          <w:sz w:val="32"/>
          <w:highlight w:val="none"/>
        </w:rPr>
        <w:pict>
          <v:shape id="墨迹 2" o:spid="_x0000_s1025" o:spt="75" type="#_x0000_t75" style="position:absolute;left:0pt;margin-left:409.65pt;margin-top:120.25pt;height:2pt;width:2pt;z-index:251659264;mso-width-relative:page;mso-height-relative:page;" filled="f" o:preferrelative="t" stroked="f" coordsize="21600,21600">
            <v:path/>
            <v:fill on="f" focussize="0,0"/>
            <v:stroke on="f" joinstyle="miter"/>
            <v:imagedata r:id="rId4" o:title=""/>
            <o:lock v:ext="edit" aspectratio="t"/>
          </v:shape>
        </w:pict>
      </w:r>
      <w:r>
        <w:rPr>
          <w:color w:val="auto"/>
          <w:sz w:val="32"/>
          <w:highlight w:val="none"/>
        </w:rPr>
        <w:pict>
          <v:shape id="墨迹 1" o:spid="_x0000_s1026" o:spt="75" type="#_x0000_t75" style="position:absolute;left:0pt;margin-left:407.65pt;margin-top:117.25pt;height:2pt;width:2pt;z-index:251658240;mso-width-relative:page;mso-height-relative:page;" filled="f" o:preferrelative="t" stroked="f" coordsize="21600,21600">
            <v:path/>
            <v:fill on="f" focussize="0,0"/>
            <v:stroke on="f" joinstyle="miter"/>
            <v:imagedata r:id="rId4" o:title=""/>
            <o:lock v:ext="edit" aspectratio="t"/>
          </v:shape>
        </w:pict>
      </w: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垃圾清扫清运处置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数量指标为清运街道数量，预期指标值是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24条，实际完成值是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24条，指标达到预期目标。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数量指标为清运小区数量，预期指标值是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115个，实际完成值是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115个，指标达到预期目标。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数量指标为清运城市垃圾数量，预期指标值是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55225.74吨，实际完成值是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40516.7吨，指标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达到预期目标。原因：根据实际产生的垃圾进行清扫清运，指标存在偏差；措施：今后做好项目计划，减少偏差。</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数量指标为节假日慰问次数，预期指标值是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r>
        <w:rPr>
          <w:rFonts w:hint="eastAsia" w:ascii="仿宋_GB2312" w:hAnsi="仿宋_GB2312" w:cs="仿宋_GB2312"/>
          <w:color w:val="auto"/>
          <w:sz w:val="32"/>
          <w:szCs w:val="32"/>
          <w:highlight w:val="none"/>
          <w:lang w:eastAsia="zh-CN"/>
        </w:rPr>
        <w:t>。</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数量指标为环卫工人员，预期指标值是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148人，实际完成值是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124人，指标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达到预期目标。原因：根据实际情况进行聘请环卫工人，指标存在偏差；措施：今后做好项目偏差，减少偏差。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质量指标为项目验收合格率，预期指标值是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成本指标为清运城市垃圾成本，预期指标值是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3829.46万元，实际完成值是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1122.0199万元，指标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成本指标为节假日慰问费用，预期指标值是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达到预期目标。原因：年初实施计划不够精准，未开展相关工作，因此未产生支出，指标未完成；措施：下一年度做好项目前期计划，确保项目如期执行，提高预算执行率，减少偏差。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成本指标为环卫工人员工资，预期指标值是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1000元/人/月，实际完成值是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1000元/人/月，指标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达到预期目标。原因：前半年工作由本单位来保障并拨付环卫工人工资，下半年开始环卫公司承担，因此指标未完成，存在偏差；措施：下一年度做好预算计划，提高预算执行率，减少偏差。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指标为保证生活垃圾无害化填埋场正常运行，预期指标值是有效保障，实际完成值是有效保障，指标达到预期目标。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偏差原因：</w:t>
      </w:r>
      <w:r>
        <w:rPr>
          <w:rFonts w:hint="eastAsia"/>
          <w:color w:val="auto"/>
          <w:sz w:val="32"/>
          <w:highlight w:val="none"/>
          <w:lang w:val="en-US" w:eastAsia="zh-CN"/>
        </w:rPr>
        <w:t>项目年初计划不够精准，项目实施过程中环卫工人节日慰问工作未开展，实际保障发放工资的工人人数减少，垃圾清运工作未达预期计划目标，因此项目预算执行率偏低，未达预期目标。</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1.49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both"/>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86.78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8EB8"/>
    <w:multiLevelType w:val="multilevel"/>
    <w:tmpl w:val="68CB8EB8"/>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8EC3"/>
    <w:multiLevelType w:val="singleLevel"/>
    <w:tmpl w:val="68CB8EC3"/>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8617220"/>
    <w:rsid w:val="69FC120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46B3890CCC52467BA59F2F762DFD2098_13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7b831-11b9-49ed-965d-148c2d380d3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8690</Words>
  <Characters>9049</Characters>
  <Lines>56</Lines>
  <Paragraphs>15</Paragraphs>
  <TotalTime>29</TotalTime>
  <ScaleCrop>false</ScaleCrop>
  <LinksUpToDate>false</LinksUpToDate>
  <CharactersWithSpaces>9059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2025-09-18T04:50:13Z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46B3890CCC52467BA59F2F762DFD2098_13</vt:lpwstr>
  </property>
  <property fmtid="{D5CDD505-2E9C-101B-9397-08002B2CF9AE}" pid="4" name="KSOTemplateDocerSaveRecord">
    <vt:lpwstr>eyJoZGlkIjoiYzZkNzQ4ZWFiZmQ4NTRhOWRkZTk3YTMwMjlmMmZhYmUiLCJ1c2VySWQiOiI1NzgxMjU4NDIifQ_x003D__x003D_</vt:lpwstr>
  </property>
</Properties>
</file>