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村级运转经费（上级专项）项目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项目名称：村级运转经费（上级专项）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项目单位：阿图什市吐古买提乡人民政府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主管部门：阿图什市吐古买提乡人民政府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23</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村级运转经费（上级专项）项目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为了保证地方基层组织的正常运转，更好地促进基层群众工作的协调发展。根据《关于加强村级组织运转经费保障工作的通知》《中国共产党农村基层组织工作条例》《关于下达阿图什市202</w:t>
      </w:r>
      <w:r>
        <w:rPr>
          <w:rFonts w:hint="eastAsia" w:ascii="仿宋_GB2312" w:hAnsi="仿宋" w:cs="宋体"/>
          <w:color w:val="auto"/>
          <w:sz w:val="32"/>
          <w:szCs w:val="32"/>
          <w:highlight w:val="none"/>
          <w:lang w:val="en-US" w:eastAsia="zh-CN"/>
        </w:rPr>
        <w:t>4</w:t>
      </w:r>
      <w:r>
        <w:rPr>
          <w:rFonts w:hint="eastAsia" w:ascii="仿宋_GB2312" w:hAnsi="仿宋" w:cs="宋体"/>
          <w:color w:val="auto"/>
          <w:sz w:val="32"/>
          <w:szCs w:val="32"/>
          <w:highlight w:val="none"/>
        </w:rPr>
        <w:t>年度部门预算指标的通知》阿财预〔202</w:t>
      </w:r>
      <w:r>
        <w:rPr>
          <w:rFonts w:hint="eastAsia" w:ascii="仿宋_GB2312" w:hAnsi="仿宋" w:cs="宋体"/>
          <w:color w:val="auto"/>
          <w:sz w:val="32"/>
          <w:szCs w:val="32"/>
          <w:highlight w:val="none"/>
          <w:lang w:val="en-US" w:eastAsia="zh-CN"/>
        </w:rPr>
        <w:t>4</w:t>
      </w:r>
      <w:r>
        <w:rPr>
          <w:rFonts w:hint="eastAsia" w:ascii="仿宋_GB2312" w:hAnsi="仿宋" w:cs="宋体"/>
          <w:color w:val="auto"/>
          <w:sz w:val="32"/>
          <w:szCs w:val="32"/>
          <w:highlight w:val="none"/>
        </w:rPr>
        <w:t>〕1号文件的要求，切实保证村级工作经费，进一步落实关于保证村级工作经费规定的具体举措，由村委员会履行各项工作，并让群众工作得到有力保障。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根据《阿图什市吐古买提乡人民政府工作会议纪要》，本项目资金70万元</w:t>
      </w:r>
      <w:r>
        <w:rPr>
          <w:rFonts w:hint="eastAsia" w:ascii="仿宋_GB2312" w:hAnsi="仿宋_GB2312" w:cs="仿宋_GB2312"/>
          <w:color w:val="auto"/>
          <w:sz w:val="32"/>
          <w:szCs w:val="30"/>
          <w:highlight w:val="none"/>
          <w:lang w:eastAsia="zh-CN"/>
        </w:rPr>
        <w:t>，</w:t>
      </w:r>
      <w:r>
        <w:rPr>
          <w:rFonts w:hint="eastAsia" w:ascii="仿宋_GB2312" w:hAnsi="仿宋_GB2312" w:cs="仿宋_GB2312"/>
          <w:color w:val="auto"/>
          <w:sz w:val="32"/>
          <w:szCs w:val="30"/>
          <w:highlight w:val="none"/>
        </w:rPr>
        <w:t>用于各村日常运转，支付临聘人员工资劳务费等支出，确保各村日常工作正常开展，提高服务群众工作效率。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吐古买提乡人民政府,实施单位为阿图什市吐古买提乡人民政府，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本项目的实施符合《关于加强村级组织运转经费保障工作的通知》《中国共产党农村基层组织工作条例》相关政策要求，实际已</w:t>
      </w:r>
      <w:r>
        <w:rPr>
          <w:rFonts w:hint="eastAsia" w:ascii="仿宋_GB2312" w:hAnsi="仿宋_GB2312" w:cs="仿宋_GB2312"/>
          <w:bCs/>
          <w:color w:val="auto"/>
          <w:sz w:val="32"/>
          <w:szCs w:val="30"/>
          <w:highlight w:val="none"/>
          <w:lang w:val="en-US" w:eastAsia="zh-CN"/>
        </w:rPr>
        <w:t>保障</w:t>
      </w:r>
      <w:r>
        <w:rPr>
          <w:rFonts w:hint="eastAsia" w:ascii="仿宋_GB2312" w:hAnsi="仿宋_GB2312" w:cs="仿宋_GB2312"/>
          <w:bCs/>
          <w:color w:val="auto"/>
          <w:sz w:val="32"/>
          <w:szCs w:val="30"/>
          <w:highlight w:val="none"/>
        </w:rPr>
        <w:t>行政村7个，采购办公用品及印刷材料7批，缴纳水电网费12个月，保障</w:t>
      </w:r>
      <w:r>
        <w:rPr>
          <w:rFonts w:hint="eastAsia" w:ascii="仿宋_GB2312" w:hAnsi="仿宋_GB2312" w:cs="仿宋_GB2312"/>
          <w:bCs/>
          <w:color w:val="auto"/>
          <w:sz w:val="32"/>
          <w:szCs w:val="30"/>
          <w:highlight w:val="none"/>
          <w:lang w:val="en-US" w:eastAsia="zh-CN"/>
        </w:rPr>
        <w:t>公务</w:t>
      </w:r>
      <w:r>
        <w:rPr>
          <w:rFonts w:hint="eastAsia" w:ascii="仿宋_GB2312" w:hAnsi="仿宋_GB2312" w:cs="仿宋_GB2312"/>
          <w:bCs/>
          <w:color w:val="auto"/>
          <w:sz w:val="32"/>
          <w:szCs w:val="30"/>
          <w:highlight w:val="none"/>
        </w:rPr>
        <w:t>用车数量7辆</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确保各村日常工作正常开展，提高</w:t>
      </w:r>
      <w:r>
        <w:rPr>
          <w:rFonts w:hint="eastAsia" w:ascii="仿宋_GB2312" w:hAnsi="仿宋_GB2312" w:cs="仿宋_GB2312"/>
          <w:bCs/>
          <w:color w:val="auto"/>
          <w:sz w:val="32"/>
          <w:szCs w:val="30"/>
          <w:highlight w:val="none"/>
          <w:lang w:val="en-US" w:eastAsia="zh-CN"/>
        </w:rPr>
        <w:t>服务群众工作效率</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70</w:t>
      </w:r>
      <w:r>
        <w:rPr>
          <w:rStyle w:val="11"/>
          <w:rFonts w:hint="eastAsia" w:ascii="仿宋_GB2312" w:hAnsi="仿宋_GB2312" w:cs="仿宋_GB2312"/>
          <w:b w:val="0"/>
          <w:bCs w:val="0"/>
          <w:color w:val="auto"/>
          <w:spacing w:val="-4"/>
          <w:sz w:val="32"/>
          <w:szCs w:val="30"/>
          <w:highlight w:val="none"/>
        </w:rPr>
        <w:t>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Fonts w:hint="eastAsia" w:ascii="仿宋_GB2312" w:hAnsi="仿宋_GB2312" w:eastAsia="仿宋_GB2312" w:cs="仿宋_GB2312"/>
          <w:color w:val="auto"/>
          <w:szCs w:val="30"/>
          <w:highlight w:val="none"/>
          <w:lang w:eastAsia="zh-CN"/>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56</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80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采购办公用品及印刷资料成本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26.8441万元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各村日常运转经费成本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26.3058万元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各村维修材料及其他服务成本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2.85万元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年度总体目标为：根据《阿图什市吐古买提乡人民政府工作会议纪要》，本项目资金70万元，用于各村日常运转，支付临聘人员工资劳务费等支出，确保各村日常工作正常开展，提高服务群众工作效率。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村级运转经费（上级专项）项目的深入调研基础上，按照《项目支出绩效评价管理办法》（财预〔2021〕10号）对于指标体系的要求和规范，建立一套适合评价村级运转经费（上级专项）项目的指标体系，从项目决策、项目过程、项目产出和项目绩效四个维度全面考察村级运转经费（上级专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cy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定性指标：公众评判法，通过问卷及cy调查等方式评价本项目实施后社会公众对于其实施效果的满意程度。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村级运转经费（上级专项）项目延续项目，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2568" w:type="dxa"/>
            <w:vAlign w:val="center"/>
          </w:tcPr>
          <w:p>
            <w:pPr>
              <w:pStyle w:val="30"/>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李耀辉</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钟鹏</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lang w:val="en-US" w:eastAsia="zh-CN"/>
              </w:rPr>
              <w:t>拜合提亚尔</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村级运转经费（上级专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组织管理、产出与效益效果。在此基础上，以相关的项目数据为基础，综合运用不同的评价方法，结合评价标准和评分规则，村级运转经费（上级专项）项目综合得分为97.6分，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4年村级运转经费（上级专项）项目评价得分情况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项目预算执行率80%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28.6</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3条成本指标未完成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97.6</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本项目根据《关于加强村级组织运转经费保障工作的通知》《中国共产党农村基层组织工作条例》相关政策要求，本年度保障行政村数量7个，采购办公用品及印刷材料数量7批，缴纳水电网费12个月，保障</w:t>
      </w:r>
      <w:r>
        <w:rPr>
          <w:rFonts w:hint="eastAsia" w:ascii="仿宋_GB2312" w:hAnsi="仿宋_GB2312" w:cs="仿宋_GB2312"/>
          <w:color w:val="auto"/>
          <w:sz w:val="32"/>
          <w:szCs w:val="32"/>
          <w:highlight w:val="none"/>
          <w:lang w:val="en-US" w:eastAsia="zh-CN"/>
        </w:rPr>
        <w:t>公务</w:t>
      </w:r>
      <w:r>
        <w:rPr>
          <w:rFonts w:hint="eastAsia" w:ascii="仿宋_GB2312" w:hAnsi="仿宋_GB2312" w:cs="仿宋_GB2312"/>
          <w:color w:val="auto"/>
          <w:sz w:val="32"/>
          <w:szCs w:val="32"/>
          <w:highlight w:val="none"/>
        </w:rPr>
        <w:t>用车数量7辆；通过实施本项目</w:t>
      </w:r>
      <w:r>
        <w:rPr>
          <w:rFonts w:hint="eastAsia" w:ascii="仿宋_GB2312" w:hAnsi="仿宋_GB2312" w:cs="仿宋_GB2312"/>
          <w:color w:val="auto"/>
          <w:sz w:val="32"/>
          <w:szCs w:val="32"/>
          <w:highlight w:val="none"/>
          <w:lang w:val="en-US" w:eastAsia="zh-CN"/>
        </w:rPr>
        <w:t>有效</w:t>
      </w:r>
      <w:r>
        <w:rPr>
          <w:rFonts w:hint="eastAsia" w:ascii="仿宋_GB2312" w:hAnsi="仿宋_GB2312" w:cs="仿宋_GB2312"/>
          <w:color w:val="auto"/>
          <w:sz w:val="32"/>
          <w:szCs w:val="32"/>
          <w:highlight w:val="none"/>
        </w:rPr>
        <w:t>确保各村日常工作正常开展，提高</w:t>
      </w:r>
      <w:r>
        <w:rPr>
          <w:rFonts w:hint="eastAsia" w:ascii="仿宋_GB2312" w:hAnsi="仿宋_GB2312" w:cs="仿宋_GB2312"/>
          <w:color w:val="auto"/>
          <w:sz w:val="32"/>
          <w:szCs w:val="32"/>
          <w:highlight w:val="none"/>
          <w:lang w:val="en-US" w:eastAsia="zh-CN"/>
        </w:rPr>
        <w:t>服务</w:t>
      </w:r>
      <w:r>
        <w:rPr>
          <w:rFonts w:hint="eastAsia" w:ascii="仿宋_GB2312" w:hAnsi="仿宋_GB2312" w:cs="仿宋_GB2312"/>
          <w:color w:val="auto"/>
          <w:sz w:val="32"/>
          <w:szCs w:val="32"/>
          <w:highlight w:val="none"/>
        </w:rPr>
        <w:t>群众</w:t>
      </w:r>
      <w:r>
        <w:rPr>
          <w:rFonts w:hint="eastAsia" w:ascii="仿宋_GB2312" w:hAnsi="仿宋_GB2312" w:cs="仿宋_GB2312"/>
          <w:color w:val="auto"/>
          <w:sz w:val="32"/>
          <w:szCs w:val="32"/>
          <w:highlight w:val="none"/>
          <w:lang w:val="en-US" w:eastAsia="zh-CN"/>
        </w:rPr>
        <w:t>工作效率</w:t>
      </w:r>
      <w:r>
        <w:rPr>
          <w:rFonts w:hint="eastAsia" w:ascii="仿宋_GB2312" w:hAnsi="仿宋_GB2312" w:cs="仿宋_GB2312"/>
          <w:color w:val="auto"/>
          <w:sz w:val="32"/>
          <w:szCs w:val="32"/>
          <w:highlight w:val="none"/>
        </w:rPr>
        <w:t>。</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村级运转经费（上级专项）项目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70</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97.6</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村级运转经费（上级专项）项目预算依据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村级运转经费（上级专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村级运转经费（上级专项）项目组织形式，明确了该项目经费的开支范围为</w:t>
      </w:r>
      <w:r>
        <w:rPr>
          <w:rFonts w:hint="eastAsia" w:ascii="仿宋_GB2312" w:hAnsi="仿宋_GB2312" w:cs="仿宋_GB2312"/>
          <w:color w:val="auto"/>
          <w:sz w:val="32"/>
          <w:szCs w:val="32"/>
          <w:highlight w:val="none"/>
          <w:lang w:val="en-US" w:eastAsia="zh-CN"/>
        </w:rPr>
        <w:t>村级运转支出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w:t>
      </w:r>
      <w:r>
        <w:rPr>
          <w:rFonts w:hint="eastAsia" w:ascii="仿宋_GB2312" w:hAnsi="仿宋_GB2312" w:cs="仿宋_GB2312"/>
          <w:color w:val="auto"/>
          <w:sz w:val="32"/>
          <w:szCs w:val="32"/>
          <w:highlight w:val="none"/>
          <w:lang w:eastAsia="zh-CN"/>
        </w:rPr>
        <w:t>nk</w:t>
      </w:r>
      <w:r>
        <w:rPr>
          <w:rFonts w:hint="eastAsia" w:ascii="仿宋_GB2312" w:hAnsi="仿宋_GB2312" w:cs="仿宋_GB2312"/>
          <w:color w:val="auto"/>
          <w:sz w:val="32"/>
          <w:szCs w:val="32"/>
          <w:highlight w:val="none"/>
        </w:rPr>
        <w:t>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（4）严格按照政府采购制度规范实施政府采购。对于需要实施政府采购的活动，严格实施、履行采购手续，根据村级运转经费（上级专项）项目</w:t>
      </w:r>
      <w:r>
        <w:rPr>
          <w:rFonts w:hint="eastAsia" w:ascii="仿宋_GB2312" w:hAnsi="仿宋_GB2312" w:cs="仿宋_GB2312"/>
          <w:color w:val="auto"/>
          <w:sz w:val="32"/>
          <w:szCs w:val="32"/>
          <w:highlight w:val="none"/>
          <w:lang w:val="en-US" w:eastAsia="zh-CN"/>
        </w:rPr>
        <w:t>的实际需求</w:t>
      </w:r>
      <w:r>
        <w:rPr>
          <w:rFonts w:hint="eastAsia" w:ascii="仿宋_GB2312" w:hAnsi="仿宋_GB2312" w:cs="仿宋_GB2312"/>
          <w:color w:val="auto"/>
          <w:sz w:val="32"/>
          <w:szCs w:val="32"/>
          <w:highlight w:val="none"/>
        </w:rPr>
        <w:t>，选择合规可行的采购形式，</w:t>
      </w:r>
      <w:r>
        <w:rPr>
          <w:rFonts w:hint="eastAsia" w:ascii="仿宋_GB2312" w:hAnsi="仿宋_GB2312" w:cs="仿宋_GB2312"/>
          <w:color w:val="auto"/>
          <w:sz w:val="32"/>
          <w:szCs w:val="32"/>
          <w:highlight w:val="none"/>
          <w:lang w:val="en-US" w:eastAsia="zh-CN"/>
        </w:rPr>
        <w:t>通过政采云平台完成采购工作</w:t>
      </w:r>
      <w:r>
        <w:rPr>
          <w:rFonts w:hint="eastAsia" w:ascii="仿宋_GB2312" w:hAnsi="仿宋_GB2312" w:cs="仿宋_GB2312"/>
          <w:color w:val="auto"/>
          <w:sz w:val="32"/>
          <w:szCs w:val="32"/>
          <w:highlight w:val="none"/>
        </w:rPr>
        <w:t>，将采购政策、采购程序、采购过程规范化、透明化，提升村级运转经费（上级专项）</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相关资源和</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w:t>
      </w:r>
      <w:r>
        <w:rPr>
          <w:rFonts w:hint="eastAsia" w:ascii="仿宋_GB2312" w:hAnsi="仿宋_GB2312" w:cs="仿宋_GB2312"/>
          <w:color w:val="auto"/>
          <w:sz w:val="32"/>
          <w:szCs w:val="32"/>
          <w:highlight w:val="none"/>
          <w:lang w:eastAsia="zh-CN"/>
        </w:rPr>
        <w:t>wjwg</w:t>
      </w:r>
      <w:r>
        <w:rPr>
          <w:rFonts w:hint="eastAsia" w:ascii="仿宋_GB2312" w:hAnsi="仿宋_GB2312" w:cs="仿宋_GB2312"/>
          <w:color w:val="auto"/>
          <w:sz w:val="32"/>
          <w:szCs w:val="32"/>
          <w:highlight w:val="none"/>
        </w:rPr>
        <w:t>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年村级运转经费（上级专项）在实施阶段均制定了具体的组织实施文件，各个项目均经过项目申报、项目评审、项目核准备案、</w:t>
      </w:r>
      <w:r>
        <w:rPr>
          <w:rFonts w:hint="eastAsia" w:ascii="仿宋_GB2312" w:hAnsi="仿宋_GB2312" w:cs="仿宋_GB2312"/>
          <w:color w:val="auto"/>
          <w:sz w:val="32"/>
          <w:szCs w:val="32"/>
          <w:highlight w:val="none"/>
          <w:lang w:eastAsia="zh-CN"/>
        </w:rPr>
        <w:t>项目</w:t>
      </w:r>
      <w:r>
        <w:rPr>
          <w:rFonts w:hint="eastAsia" w:ascii="仿宋_GB2312" w:hAnsi="仿宋_GB2312" w:cs="仿宋_GB2312"/>
          <w:color w:val="auto"/>
          <w:sz w:val="32"/>
          <w:szCs w:val="32"/>
          <w:highlight w:val="none"/>
        </w:rPr>
        <w:t>采购、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数量指标为行政村数量，预期指标值是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7个，实际完成值是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7个，指标达到预期目标。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数量指标为采购办公用品及印刷材料数量，预期指标值是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7批，实际完成值是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7批，指标达到预期目标。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数量指标为缴纳水电网费，预期指标值是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数量指标为保障用车数量，预期指标值是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7辆，实际完成值是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7辆，指标达到预期目标。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质量指标为办公用品合格率，预期指标值是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成本指标为采购办公用品及印刷资料成本，预期指标值是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37万元，实际完成值是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26.8441万元，指标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成本指标为各村日常运转经费成本，预期指标值是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26.3058万元，指标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成本指标为各村维修材料及其他服务成本，预期指标值是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2.85万元，指标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指标为提升公共服务能力，预期指标值是有效提升，实际完成值是有效提升，指标达到预期目标。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满意度指标为服务群众满意度，预期指标值是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本项目实施效果较好的原因主要是管理制度完善、责任落实到位，跟踪考核机制完善且运行有效，在项目实施过程中创新管理办法，采用成本效益分析法、因素分析法的方式使项目取得了良好的效果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本项目全年预算数70万元，执行数</w:t>
      </w:r>
      <w:r>
        <w:rPr>
          <w:rFonts w:hint="eastAsia"/>
          <w:color w:val="auto"/>
          <w:sz w:val="32"/>
          <w:highlight w:val="none"/>
          <w:lang w:val="en-US" w:eastAsia="zh-CN"/>
        </w:rPr>
        <w:t>56</w:t>
      </w:r>
      <w:r>
        <w:rPr>
          <w:rFonts w:hint="eastAsia"/>
          <w:color w:val="auto"/>
          <w:sz w:val="32"/>
          <w:highlight w:val="none"/>
        </w:rPr>
        <w:t>万元，执行率</w:t>
      </w:r>
      <w:r>
        <w:rPr>
          <w:rFonts w:hint="eastAsia"/>
          <w:color w:val="auto"/>
          <w:sz w:val="32"/>
          <w:highlight w:val="none"/>
          <w:lang w:val="en-US" w:eastAsia="zh-CN"/>
        </w:rPr>
        <w:t>80</w:t>
      </w:r>
      <w:r>
        <w:rPr>
          <w:rFonts w:hint="eastAsia"/>
          <w:color w:val="auto"/>
          <w:sz w:val="32"/>
          <w:highlight w:val="none"/>
        </w:rPr>
        <w:t>%，绩效指标完成率</w:t>
      </w:r>
      <w:r>
        <w:rPr>
          <w:rFonts w:hint="eastAsia"/>
          <w:color w:val="auto"/>
          <w:sz w:val="32"/>
          <w:highlight w:val="none"/>
          <w:lang w:val="en-US" w:eastAsia="zh-CN"/>
        </w:rPr>
        <w:t>95.9</w:t>
      </w:r>
      <w:r>
        <w:rPr>
          <w:rFonts w:hint="eastAsia"/>
          <w:color w:val="auto"/>
          <w:sz w:val="32"/>
          <w:highlight w:val="none"/>
        </w:rPr>
        <w:t>%，偏差率</w:t>
      </w:r>
      <w:r>
        <w:rPr>
          <w:rFonts w:hint="eastAsia"/>
          <w:color w:val="auto"/>
          <w:sz w:val="32"/>
          <w:highlight w:val="none"/>
          <w:lang w:val="en-US" w:eastAsia="zh-CN"/>
        </w:rPr>
        <w:t>15.9</w:t>
      </w:r>
      <w:r>
        <w:rPr>
          <w:rFonts w:hint="eastAsia"/>
          <w:color w:val="auto"/>
          <w:sz w:val="32"/>
          <w:highlight w:val="none"/>
        </w:rPr>
        <w:t>%。偏差原因：项目部分支出资料及手续不完整，</w:t>
      </w:r>
      <w:r>
        <w:rPr>
          <w:rFonts w:hint="eastAsia"/>
          <w:color w:val="auto"/>
          <w:sz w:val="32"/>
          <w:highlight w:val="none"/>
          <w:lang w:val="en-US" w:eastAsia="zh-CN"/>
        </w:rPr>
        <w:t>三条成本</w:t>
      </w:r>
      <w:r>
        <w:rPr>
          <w:rFonts w:hint="eastAsia"/>
          <w:color w:val="auto"/>
          <w:sz w:val="32"/>
          <w:highlight w:val="none"/>
        </w:rPr>
        <w:t>指标未能完成</w:t>
      </w:r>
      <w:r>
        <w:rPr>
          <w:rFonts w:hint="eastAsia"/>
          <w:color w:val="auto"/>
          <w:sz w:val="32"/>
          <w:highlight w:val="none"/>
          <w:lang w:eastAsia="zh-CN"/>
        </w:rPr>
        <w:t>，</w:t>
      </w:r>
      <w:r>
        <w:rPr>
          <w:rFonts w:hint="eastAsia"/>
          <w:color w:val="auto"/>
          <w:sz w:val="32"/>
          <w:highlight w:val="none"/>
          <w:lang w:val="en-US" w:eastAsia="zh-CN"/>
        </w:rPr>
        <w:t>因此项目预算执行率未达预期目标</w:t>
      </w:r>
      <w:r>
        <w:rPr>
          <w:rFonts w:hint="eastAsia"/>
          <w:color w:val="auto"/>
          <w:sz w:val="32"/>
          <w:highlight w:val="none"/>
        </w:rPr>
        <w:t>。</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w:t>
      </w:r>
      <w:bookmarkStart w:id="0" w:name="_GoBack"/>
      <w:bookmarkEnd w:id="0"/>
      <w:r>
        <w:rPr>
          <w:rFonts w:hint="eastAsia" w:ascii="仿宋_GB2312" w:hAnsi="仿宋" w:eastAsia="仿宋_GB2312" w:cs="宋体"/>
          <w:b w:val="0"/>
          <w:color w:val="auto"/>
          <w:kern w:val="2"/>
          <w:highlight w:val="none"/>
          <w:lang w:eastAsia="zh-CN"/>
        </w:rPr>
        <w:t>zlaq</w:t>
      </w:r>
      <w:r>
        <w:rPr>
          <w:rFonts w:hint="eastAsia" w:ascii="仿宋_GB2312" w:hAnsi="仿宋" w:eastAsia="仿宋_GB2312" w:cs="宋体"/>
          <w:b w:val="0"/>
          <w:color w:val="auto"/>
          <w:kern w:val="2"/>
          <w:highlight w:val="none"/>
        </w:rPr>
        <w:t>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 w:eastAsia="仿宋_GB2312" w:cs="宋体"/>
          <w:b/>
          <w:bCs/>
          <w:color w:val="auto"/>
          <w:kern w:val="2"/>
          <w:sz w:val="32"/>
          <w:szCs w:val="32"/>
          <w:highlight w:val="none"/>
          <w:lang w:val="en-US" w:eastAsia="zh-CN" w:bidi="ar-SA"/>
        </w:rPr>
      </w:pPr>
      <w:r>
        <w:rPr>
          <w:rFonts w:hint="eastAsia" w:ascii="仿宋_GB2312" w:hAnsi="仿宋" w:eastAsia="仿宋_GB2312" w:cs="宋体"/>
          <w:b/>
          <w:bCs/>
          <w:color w:val="auto"/>
          <w:kern w:val="2"/>
          <w:sz w:val="32"/>
          <w:szCs w:val="32"/>
          <w:highlight w:val="none"/>
          <w:lang w:val="en-US" w:eastAsia="zh-CN" w:bidi="ar-SA"/>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97.6</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2C517251"/>
    <w:rsid w:val="49F819F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7F3841590C3948959FF8EF347166DCAE_13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10d91a-a650-4035-80cb-4447a964a730}">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8647</Words>
  <Characters>8852</Characters>
  <Lines>56</Lines>
  <Paragraphs>15</Paragraphs>
  <TotalTime>4</TotalTime>
  <ScaleCrop>false</ScaleCrop>
  <LinksUpToDate>false</LinksUpToDate>
  <CharactersWithSpaces>8862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2025-09-17T09:48:58Z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7F3841590C3948959FF8EF347166DCAE_13</vt:lpwstr>
  </property>
  <property fmtid="{D5CDD505-2E9C-101B-9397-08002B2CF9AE}" pid="4" name="KSOTemplateDocerSaveRecord">
    <vt:lpwstr>eyJoZGlkIjoiYzZkNzQ4ZWFiZmQ4NTRhOWRkZTk3YTMwMjlmMmZhYmUiLCJ1c2VySWQiOiI1NzgxMjU4NDIifQ_x003D__x003D_</vt:lpwstr>
  </property>
</Properties>
</file>