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村级运转经费（地方配套）项目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w:t>
      </w:r>
      <w:r>
        <w:rPr>
          <w:rFonts w:hint="eastAsia" w:ascii="方正小标宋_GBK" w:hAnsi="黑体" w:eastAsia="方正小标宋_GBK" w:cs="仿宋_GB2312"/>
          <w:bCs/>
          <w:color w:val="auto"/>
          <w:sz w:val="44"/>
          <w:szCs w:val="44"/>
          <w:highlight w:val="none"/>
          <w:lang w:eastAsia="zh-CN"/>
        </w:rPr>
        <w:t>202</w:t>
      </w:r>
      <w:r>
        <w:rPr>
          <w:rFonts w:hint="eastAsia" w:ascii="方正小标宋_GBK" w:hAnsi="黑体" w:eastAsia="方正小标宋_GBK" w:cs="仿宋_GB2312"/>
          <w:bCs/>
          <w:color w:val="auto"/>
          <w:sz w:val="44"/>
          <w:szCs w:val="44"/>
          <w:highlight w:val="none"/>
          <w:lang w:val="en-US" w:eastAsia="zh-CN"/>
        </w:rPr>
        <w:t>4</w:t>
      </w:r>
      <w:r>
        <w:rPr>
          <w:rFonts w:hint="eastAsia" w:ascii="方正小标宋_GBK" w:hAnsi="黑体" w:eastAsia="方正小标宋_GBK" w:cs="仿宋_GB2312"/>
          <w:bCs/>
          <w:color w:val="auto"/>
          <w:sz w:val="44"/>
          <w:szCs w:val="44"/>
          <w:highlight w:val="none"/>
        </w:rPr>
        <w:t>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项目名称：村级运转经费（地方配套）</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项目单位：阿图什市吐古买提乡人民政府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主管部门：阿图什市吐古买提乡人民政府</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lang w:eastAsia="zh-CN"/>
        </w:rPr>
        <w:t>202</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5</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村级运转经费（地方配套）项目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为了保证地方基层组织的正常运转，更好地促进基层群众工作的协调发展。根据《关于加强村级组织运转经费保障工作的通知》《中国共产党农村基层组织工作条例》《关于下达阿图什市202</w:t>
      </w:r>
      <w:r>
        <w:rPr>
          <w:rFonts w:hint="eastAsia" w:ascii="仿宋_GB2312" w:hAnsi="仿宋_GB2312" w:cs="仿宋_GB2312"/>
          <w:color w:val="auto"/>
          <w:sz w:val="32"/>
          <w:szCs w:val="30"/>
          <w:highlight w:val="none"/>
          <w:lang w:val="en-US" w:eastAsia="zh-CN"/>
        </w:rPr>
        <w:t>4</w:t>
      </w:r>
      <w:r>
        <w:rPr>
          <w:rFonts w:hint="eastAsia" w:ascii="仿宋_GB2312" w:hAnsi="仿宋_GB2312" w:cs="仿宋_GB2312"/>
          <w:color w:val="auto"/>
          <w:sz w:val="32"/>
          <w:szCs w:val="30"/>
          <w:highlight w:val="none"/>
        </w:rPr>
        <w:t>年度部门预算指标的通知》阿财预</w:t>
      </w:r>
      <w:r>
        <w:rPr>
          <w:rFonts w:hint="eastAsia" w:ascii="宋体" w:hAnsi="宋体" w:eastAsia="宋体" w:cs="宋体"/>
          <w:color w:val="auto"/>
          <w:sz w:val="32"/>
          <w:szCs w:val="30"/>
          <w:highlight w:val="none"/>
        </w:rPr>
        <w:t>〔</w:t>
      </w:r>
      <w:r>
        <w:rPr>
          <w:rFonts w:hint="eastAsia" w:ascii="仿宋_GB2312" w:hAnsi="仿宋_GB2312" w:cs="仿宋_GB2312"/>
          <w:color w:val="auto"/>
          <w:sz w:val="32"/>
          <w:szCs w:val="30"/>
          <w:highlight w:val="none"/>
        </w:rPr>
        <w:t>202</w:t>
      </w:r>
      <w:r>
        <w:rPr>
          <w:rFonts w:hint="eastAsia" w:ascii="仿宋_GB2312" w:hAnsi="仿宋_GB2312" w:cs="仿宋_GB2312"/>
          <w:color w:val="auto"/>
          <w:sz w:val="32"/>
          <w:szCs w:val="30"/>
          <w:highlight w:val="none"/>
          <w:lang w:val="en-US" w:eastAsia="zh-CN"/>
        </w:rPr>
        <w:t>4</w:t>
      </w:r>
      <w:r>
        <w:rPr>
          <w:rFonts w:hint="eastAsia" w:ascii="宋体" w:hAnsi="宋体" w:eastAsia="宋体" w:cs="宋体"/>
          <w:color w:val="auto"/>
          <w:sz w:val="32"/>
          <w:szCs w:val="30"/>
          <w:highlight w:val="none"/>
        </w:rPr>
        <w:t>〕</w:t>
      </w:r>
      <w:r>
        <w:rPr>
          <w:rFonts w:hint="eastAsia" w:ascii="仿宋_GB2312" w:hAnsi="仿宋_GB2312" w:cs="仿宋_GB2312"/>
          <w:color w:val="auto"/>
          <w:sz w:val="32"/>
          <w:szCs w:val="30"/>
          <w:highlight w:val="none"/>
        </w:rPr>
        <w:t>1号文件的要求，切实保证村级工作经费，进一步落实关于保证村级工作经费规定的具体举措，</w:t>
      </w:r>
      <w:r>
        <w:rPr>
          <w:rFonts w:hint="eastAsia" w:ascii="仿宋_GB2312" w:hAnsi="仿宋_GB2312" w:cs="仿宋_GB2312"/>
          <w:color w:val="auto"/>
          <w:sz w:val="32"/>
          <w:szCs w:val="30"/>
          <w:highlight w:val="none"/>
          <w:lang w:val="en-US" w:eastAsia="zh-CN"/>
        </w:rPr>
        <w:t>由</w:t>
      </w:r>
      <w:r>
        <w:rPr>
          <w:rFonts w:hint="eastAsia" w:ascii="仿宋_GB2312" w:hAnsi="仿宋_GB2312" w:cs="仿宋_GB2312"/>
          <w:color w:val="auto"/>
          <w:sz w:val="32"/>
          <w:szCs w:val="30"/>
          <w:highlight w:val="none"/>
        </w:rPr>
        <w:t>村委员会履行各项工作</w:t>
      </w:r>
      <w:r>
        <w:rPr>
          <w:rFonts w:hint="eastAsia" w:ascii="仿宋_GB2312" w:hAnsi="仿宋_GB2312" w:cs="仿宋_GB2312"/>
          <w:color w:val="auto"/>
          <w:sz w:val="32"/>
          <w:szCs w:val="30"/>
          <w:highlight w:val="none"/>
          <w:lang w:eastAsia="zh-CN"/>
        </w:rPr>
        <w:t>，</w:t>
      </w:r>
      <w:r>
        <w:rPr>
          <w:rFonts w:hint="eastAsia" w:ascii="仿宋_GB2312" w:hAnsi="仿宋_GB2312" w:cs="仿宋_GB2312"/>
          <w:color w:val="auto"/>
          <w:sz w:val="32"/>
          <w:szCs w:val="30"/>
          <w:highlight w:val="none"/>
          <w:lang w:val="en-US" w:eastAsia="zh-CN"/>
        </w:rPr>
        <w:t>并让群众工作得到</w:t>
      </w:r>
      <w:r>
        <w:rPr>
          <w:rFonts w:hint="eastAsia" w:ascii="仿宋_GB2312" w:hAnsi="仿宋_GB2312" w:cs="仿宋_GB2312"/>
          <w:color w:val="auto"/>
          <w:sz w:val="32"/>
          <w:szCs w:val="30"/>
          <w:highlight w:val="none"/>
        </w:rPr>
        <w:t>有力保障。</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eastAsia="仿宋_GB2312" w:cs="仿宋_GB2312"/>
          <w:color w:val="auto"/>
          <w:sz w:val="32"/>
          <w:szCs w:val="30"/>
          <w:highlight w:val="none"/>
          <w:lang w:val="en-US" w:eastAsia="zh-CN"/>
        </w:rPr>
      </w:pPr>
      <w:r>
        <w:rPr>
          <w:rFonts w:hint="eastAsia" w:ascii="仿宋_GB2312" w:hAnsi="仿宋_GB2312" w:cs="仿宋_GB2312"/>
          <w:color w:val="auto"/>
          <w:sz w:val="32"/>
          <w:szCs w:val="30"/>
          <w:highlight w:val="none"/>
        </w:rPr>
        <w:t>根据《吐古买提</w:t>
      </w:r>
      <w:r>
        <w:rPr>
          <w:rFonts w:hint="eastAsia" w:ascii="仿宋_GB2312" w:hAnsi="仿宋_GB2312" w:cs="仿宋_GB2312"/>
          <w:color w:val="auto"/>
          <w:sz w:val="32"/>
          <w:szCs w:val="30"/>
          <w:highlight w:val="none"/>
          <w:lang w:val="en-US" w:eastAsia="zh-CN"/>
        </w:rPr>
        <w:t>乡人民</w:t>
      </w:r>
      <w:r>
        <w:rPr>
          <w:rFonts w:hint="eastAsia" w:ascii="仿宋_GB2312" w:hAnsi="仿宋_GB2312" w:cs="仿宋_GB2312"/>
          <w:color w:val="auto"/>
          <w:sz w:val="32"/>
          <w:szCs w:val="30"/>
          <w:highlight w:val="none"/>
        </w:rPr>
        <w:t>政府工作会议纪要》计划缴纳全乡7个行政村办公楼面积8170平方米取暖费，确保</w:t>
      </w:r>
      <w:r>
        <w:rPr>
          <w:rFonts w:hint="eastAsia" w:ascii="仿宋_GB2312" w:hAnsi="仿宋_GB2312" w:cs="仿宋_GB2312"/>
          <w:color w:val="auto"/>
          <w:sz w:val="32"/>
          <w:szCs w:val="30"/>
          <w:highlight w:val="none"/>
          <w:lang w:val="en-US" w:eastAsia="zh-CN"/>
        </w:rPr>
        <w:t>各村级委员会</w:t>
      </w:r>
      <w:r>
        <w:rPr>
          <w:rFonts w:hint="eastAsia" w:ascii="仿宋_GB2312" w:hAnsi="仿宋_GB2312" w:cs="仿宋_GB2312"/>
          <w:color w:val="auto"/>
          <w:sz w:val="32"/>
          <w:szCs w:val="30"/>
          <w:highlight w:val="none"/>
        </w:rPr>
        <w:t>正常</w:t>
      </w:r>
      <w:r>
        <w:rPr>
          <w:rFonts w:hint="eastAsia" w:ascii="仿宋_GB2312" w:hAnsi="仿宋_GB2312" w:cs="仿宋_GB2312"/>
          <w:color w:val="auto"/>
          <w:sz w:val="32"/>
          <w:szCs w:val="30"/>
          <w:highlight w:val="none"/>
          <w:lang w:val="en-US" w:eastAsia="zh-CN"/>
        </w:rPr>
        <w:t>运转</w:t>
      </w:r>
      <w:r>
        <w:rPr>
          <w:rFonts w:hint="eastAsia" w:ascii="仿宋_GB2312" w:hAnsi="仿宋_GB2312" w:cs="仿宋_GB2312"/>
          <w:color w:val="auto"/>
          <w:sz w:val="32"/>
          <w:szCs w:val="30"/>
          <w:highlight w:val="none"/>
        </w:rPr>
        <w:t>，保证各村各项工作的顺利开展，进一步提高村级工作效率及工作质量。</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吐古买提乡人民政府,实施单位为阿图什市吐古买提乡人民政府，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w:t>
      </w:r>
      <w:r>
        <w:rPr>
          <w:rFonts w:hint="eastAsia" w:ascii="仿宋_GB2312" w:hAnsi="仿宋_GB2312" w:cs="仿宋_GB2312"/>
          <w:bCs/>
          <w:color w:val="auto"/>
          <w:sz w:val="32"/>
          <w:szCs w:val="30"/>
          <w:highlight w:val="none"/>
          <w:lang w:eastAsia="zh-CN"/>
        </w:rPr>
        <w:t>202</w:t>
      </w:r>
      <w:r>
        <w:rPr>
          <w:rFonts w:hint="eastAsia" w:ascii="仿宋_GB2312" w:hAnsi="仿宋_GB2312" w:cs="仿宋_GB2312"/>
          <w:bCs/>
          <w:color w:val="auto"/>
          <w:sz w:val="32"/>
          <w:szCs w:val="30"/>
          <w:highlight w:val="none"/>
          <w:lang w:val="en-US" w:eastAsia="zh-CN"/>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本项目的实施符合《关于加强村级组织运转经费保障工作的通知》《中国共产党农村基层组织工作条例》相关政策要求，实际保障行政村数量7个，办公楼取暖面积8170平方米</w:t>
      </w:r>
      <w:r>
        <w:rPr>
          <w:rFonts w:hint="eastAsia" w:ascii="仿宋_GB2312" w:hAnsi="仿宋_GB2312" w:cs="仿宋_GB2312"/>
          <w:bCs/>
          <w:color w:val="auto"/>
          <w:sz w:val="32"/>
          <w:szCs w:val="30"/>
          <w:highlight w:val="none"/>
          <w:lang w:val="en-US" w:eastAsia="zh-CN"/>
        </w:rPr>
        <w:t>，</w:t>
      </w:r>
      <w:r>
        <w:rPr>
          <w:rFonts w:hint="eastAsia" w:ascii="仿宋_GB2312" w:hAnsi="仿宋_GB2312" w:cs="仿宋_GB2312"/>
          <w:color w:val="auto"/>
          <w:sz w:val="32"/>
          <w:szCs w:val="30"/>
          <w:highlight w:val="none"/>
        </w:rPr>
        <w:t>确保</w:t>
      </w:r>
      <w:r>
        <w:rPr>
          <w:rFonts w:hint="eastAsia" w:ascii="仿宋_GB2312" w:hAnsi="仿宋_GB2312" w:cs="仿宋_GB2312"/>
          <w:color w:val="auto"/>
          <w:sz w:val="32"/>
          <w:szCs w:val="30"/>
          <w:highlight w:val="none"/>
          <w:lang w:val="en-US" w:eastAsia="zh-CN"/>
        </w:rPr>
        <w:t>各村级委员会</w:t>
      </w:r>
      <w:r>
        <w:rPr>
          <w:rFonts w:hint="eastAsia" w:ascii="仿宋_GB2312" w:hAnsi="仿宋_GB2312" w:cs="仿宋_GB2312"/>
          <w:color w:val="auto"/>
          <w:sz w:val="32"/>
          <w:szCs w:val="30"/>
          <w:highlight w:val="none"/>
        </w:rPr>
        <w:t>正常</w:t>
      </w:r>
      <w:r>
        <w:rPr>
          <w:rFonts w:hint="eastAsia" w:ascii="仿宋_GB2312" w:hAnsi="仿宋_GB2312" w:cs="仿宋_GB2312"/>
          <w:color w:val="auto"/>
          <w:sz w:val="32"/>
          <w:szCs w:val="30"/>
          <w:highlight w:val="none"/>
          <w:lang w:val="en-US" w:eastAsia="zh-CN"/>
        </w:rPr>
        <w:t>运转</w:t>
      </w:r>
      <w:r>
        <w:rPr>
          <w:rFonts w:hint="eastAsia" w:ascii="仿宋_GB2312" w:hAnsi="仿宋_GB2312" w:cs="仿宋_GB2312"/>
          <w:color w:val="auto"/>
          <w:sz w:val="32"/>
          <w:szCs w:val="30"/>
          <w:highlight w:val="none"/>
        </w:rPr>
        <w:t>，保证各村各项工作的顺利开展，进一步提高村级工作效率及工作质量。</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eastAsia" w:ascii="仿宋_GB2312" w:hAnsi="仿宋_GB2312" w:cs="仿宋_GB2312"/>
          <w:b w:val="0"/>
          <w:bCs w:val="0"/>
          <w:color w:val="auto"/>
          <w:spacing w:val="-4"/>
          <w:sz w:val="32"/>
          <w:szCs w:val="30"/>
          <w:highlight w:val="none"/>
        </w:rPr>
      </w:pPr>
      <w:r>
        <w:rPr>
          <w:rStyle w:val="11"/>
          <w:rFonts w:hint="eastAsia" w:ascii="仿宋_GB2312" w:hAnsi="仿宋_GB2312" w:cs="仿宋_GB2312"/>
          <w:b w:val="0"/>
          <w:bCs w:val="0"/>
          <w:color w:val="auto"/>
          <w:spacing w:val="-4"/>
          <w:sz w:val="32"/>
          <w:szCs w:val="30"/>
          <w:highlight w:val="none"/>
        </w:rPr>
        <w:t>资金投入情况：本项目总投资</w:t>
      </w:r>
      <w:r>
        <w:rPr>
          <w:rStyle w:val="11"/>
          <w:rFonts w:hint="eastAsia" w:ascii="仿宋_GB2312" w:hAnsi="仿宋_GB2312" w:cs="仿宋_GB2312"/>
          <w:b w:val="0"/>
          <w:bCs w:val="0"/>
          <w:color w:val="auto"/>
          <w:spacing w:val="-4"/>
          <w:sz w:val="32"/>
          <w:szCs w:val="30"/>
          <w:highlight w:val="none"/>
          <w:lang w:val="en-US" w:eastAsia="zh-CN"/>
        </w:rPr>
        <w:t>35</w:t>
      </w:r>
      <w:r>
        <w:rPr>
          <w:rStyle w:val="11"/>
          <w:rFonts w:hint="eastAsia" w:ascii="仿宋_GB2312" w:hAnsi="仿宋_GB2312" w:cs="仿宋_GB2312"/>
          <w:b w:val="0"/>
          <w:bCs w:val="0"/>
          <w:color w:val="auto"/>
          <w:spacing w:val="-4"/>
          <w:sz w:val="32"/>
          <w:szCs w:val="30"/>
          <w:highlight w:val="none"/>
        </w:rPr>
        <w:t>万元，资金来源为本级部门预算</w:t>
      </w:r>
      <w:r>
        <w:rPr>
          <w:rStyle w:val="11"/>
          <w:rFonts w:hint="eastAsia" w:ascii="仿宋_GB2312" w:hAnsi="仿宋_GB2312" w:cs="仿宋_GB2312"/>
          <w:b w:val="0"/>
          <w:bCs w:val="0"/>
          <w:color w:val="auto"/>
          <w:spacing w:val="-4"/>
          <w:sz w:val="32"/>
          <w:szCs w:val="30"/>
          <w:highlight w:val="none"/>
          <w:lang w:val="en-US" w:eastAsia="zh-CN"/>
        </w:rPr>
        <w:t>资金</w:t>
      </w:r>
      <w:r>
        <w:rPr>
          <w:rStyle w:val="11"/>
          <w:rFonts w:hint="eastAsia" w:ascii="仿宋_GB2312" w:hAnsi="仿宋_GB2312" w:cs="仿宋_GB2312"/>
          <w:b w:val="0"/>
          <w:bCs w:val="0"/>
          <w:color w:val="auto"/>
          <w:spacing w:val="-4"/>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Fonts w:hint="eastAsia" w:ascii="仿宋_GB2312" w:hAnsi="仿宋_GB2312" w:eastAsia="仿宋_GB2312" w:cs="仿宋_GB2312"/>
          <w:color w:val="auto"/>
          <w:szCs w:val="30"/>
          <w:highlight w:val="none"/>
          <w:lang w:eastAsia="zh-CN"/>
        </w:rPr>
      </w:pPr>
      <w:r>
        <w:rPr>
          <w:rStyle w:val="11"/>
          <w:rFonts w:hint="eastAsia" w:ascii="仿宋_GB2312" w:hAnsi="仿宋_GB2312" w:cs="仿宋_GB2312"/>
          <w:b w:val="0"/>
          <w:color w:val="auto"/>
          <w:spacing w:val="-4"/>
          <w:sz w:val="32"/>
          <w:szCs w:val="30"/>
          <w:highlight w:val="none"/>
        </w:rPr>
        <w:t>资金使用情况：根据项目实施情况，项目资金实际支付</w:t>
      </w:r>
      <w:r>
        <w:rPr>
          <w:rStyle w:val="11"/>
          <w:rFonts w:hint="eastAsia" w:ascii="仿宋_GB2312" w:hAnsi="仿宋_GB2312" w:cs="仿宋_GB2312"/>
          <w:b w:val="0"/>
          <w:color w:val="auto"/>
          <w:spacing w:val="-4"/>
          <w:sz w:val="32"/>
          <w:szCs w:val="30"/>
          <w:highlight w:val="none"/>
          <w:lang w:val="en-US" w:eastAsia="zh-CN"/>
        </w:rPr>
        <w:t>35</w:t>
      </w:r>
      <w:r>
        <w:rPr>
          <w:rStyle w:val="11"/>
          <w:rFonts w:hint="eastAsia" w:ascii="仿宋_GB2312" w:hAnsi="仿宋_GB2312" w:cs="仿宋_GB2312"/>
          <w:b w:val="0"/>
          <w:color w:val="auto"/>
          <w:spacing w:val="-4"/>
          <w:sz w:val="32"/>
          <w:szCs w:val="30"/>
          <w:highlight w:val="none"/>
        </w:rPr>
        <w:t>万元，资金执行率达到</w:t>
      </w:r>
      <w:r>
        <w:rPr>
          <w:rStyle w:val="11"/>
          <w:rFonts w:hint="eastAsia" w:ascii="仿宋_GB2312" w:hAnsi="仿宋_GB2312" w:cs="仿宋_GB2312"/>
          <w:b w:val="0"/>
          <w:color w:val="auto"/>
          <w:spacing w:val="-4"/>
          <w:sz w:val="32"/>
          <w:szCs w:val="30"/>
          <w:highlight w:val="none"/>
          <w:lang w:val="en-US" w:eastAsia="zh-CN"/>
        </w:rPr>
        <w:t>100</w:t>
      </w:r>
      <w:r>
        <w:rPr>
          <w:rStyle w:val="11"/>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1"/>
          <w:rFonts w:hint="default" w:ascii="仿宋_GB2312" w:eastAsia="仿宋_GB2312"/>
          <w:b w:val="0"/>
          <w:color w:val="auto"/>
          <w:spacing w:val="-4"/>
          <w:sz w:val="32"/>
          <w:highlight w:val="none"/>
          <w:lang w:val="en-US" w:eastAsia="zh-CN"/>
        </w:rPr>
      </w:pPr>
      <w:r>
        <w:rPr>
          <w:rStyle w:val="11"/>
          <w:rFonts w:hint="eastAsia" w:ascii="仿宋_GB2312"/>
          <w:b w:val="0"/>
          <w:color w:val="auto"/>
          <w:spacing w:val="-4"/>
          <w:sz w:val="32"/>
          <w:highlight w:val="none"/>
        </w:rPr>
        <w:t>办公楼取暖费成本42.83元/平方米</w:t>
      </w:r>
      <w:r>
        <w:rPr>
          <w:rStyle w:val="11"/>
          <w:rFonts w:hint="eastAsia" w:ascii="仿宋_GB2312"/>
          <w:b w:val="0"/>
          <w:color w:val="auto"/>
          <w:spacing w:val="-4"/>
          <w:sz w:val="32"/>
          <w:highlight w:val="none"/>
          <w:lang w:val="en-US" w:eastAsia="zh-CN"/>
        </w:rPr>
        <w:t>,共计35万元。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吐古买提乡人民政府工作会议纪要》计划缴纳全乡7个行政村办公楼面积8170平方米取暖费，确保各村级委员会正常运转，保证各村各项工作的顺利开展，进一步提高村级工作效率及工作质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（一）绩效评价目的、对象和范围</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3" w:firstLineChars="200"/>
        <w:contextualSpacing/>
        <w:jc w:val="both"/>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本次绩效评价遵循财政部《项目支出绩效评价管理办法》（财预〔</w:t>
      </w:r>
      <w:r>
        <w:rPr>
          <w:rFonts w:hint="eastAsia" w:ascii="仿宋_GB2312" w:hAnsi="仿宋_GB2312" w:eastAsia="仿宋_GB2312" w:cs="仿宋_GB2312"/>
          <w:color w:val="auto"/>
          <w:sz w:val="32"/>
          <w:szCs w:val="32"/>
          <w:highlight w:val="none"/>
          <w:lang w:eastAsia="zh-CN"/>
        </w:rPr>
        <w:t>202</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〕10号）和自治区财政厅</w:t>
      </w:r>
      <w:r>
        <w:rPr>
          <w:rFonts w:hint="eastAsia" w:ascii="仿宋_GB2312" w:hAnsi="仿宋_GB2312" w:eastAsia="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eastAsia="仿宋_GB2312" w:cs="仿宋_GB2312"/>
          <w:color w:val="auto"/>
          <w:sz w:val="32"/>
          <w:szCs w:val="32"/>
          <w:highlight w:val="none"/>
        </w:rPr>
        <w:t>等相关政策文件</w:t>
      </w:r>
      <w:r>
        <w:rPr>
          <w:rFonts w:hint="eastAsia" w:ascii="仿宋_GB2312" w:hAnsi="仿宋_GB2312" w:cs="仿宋_GB2312"/>
          <w:color w:val="auto"/>
          <w:sz w:val="32"/>
          <w:szCs w:val="32"/>
          <w:highlight w:val="none"/>
          <w:lang w:eastAsia="zh-CN"/>
        </w:rPr>
        <w:t>和</w:t>
      </w:r>
      <w:r>
        <w:rPr>
          <w:rFonts w:hint="eastAsia" w:ascii="仿宋_GB2312" w:hAnsi="仿宋_GB2312" w:eastAsia="仿宋_GB2312" w:cs="仿宋_GB2312"/>
          <w:color w:val="auto"/>
          <w:sz w:val="32"/>
          <w:szCs w:val="32"/>
          <w:highlight w:val="none"/>
        </w:rPr>
        <w:t>规定，</w:t>
      </w:r>
      <w:r>
        <w:rPr>
          <w:rFonts w:hint="eastAsia" w:ascii="仿宋_GB2312" w:hAnsi="仿宋_GB2312" w:eastAsia="仿宋_GB2312" w:cs="仿宋_GB2312"/>
          <w:color w:val="auto"/>
          <w:sz w:val="32"/>
          <w:szCs w:val="32"/>
          <w:highlight w:val="none"/>
          <w:lang w:val="en-US" w:eastAsia="zh-CN"/>
        </w:rPr>
        <w:t>绩效评价</w:t>
      </w:r>
      <w:r>
        <w:rPr>
          <w:rFonts w:hint="eastAsia" w:ascii="仿宋_GB2312" w:hAnsi="仿宋_GB2312" w:eastAsia="仿宋_GB2312" w:cs="仿宋_GB2312"/>
          <w:color w:val="auto"/>
          <w:sz w:val="32"/>
          <w:szCs w:val="32"/>
          <w:highlight w:val="none"/>
        </w:rPr>
        <w:t>旨在评价</w:t>
      </w:r>
      <w:r>
        <w:rPr>
          <w:rFonts w:hint="eastAsia" w:ascii="仿宋_GB2312" w:hAnsi="仿宋_GB2312" w:eastAsia="仿宋_GB2312" w:cs="仿宋_GB2312"/>
          <w:color w:val="auto"/>
          <w:sz w:val="32"/>
          <w:szCs w:val="32"/>
          <w:highlight w:val="none"/>
          <w:lang w:eastAsia="zh-CN"/>
        </w:rPr>
        <w:t>本</w:t>
      </w:r>
      <w:r>
        <w:rPr>
          <w:rFonts w:hint="eastAsia" w:ascii="仿宋_GB2312" w:hAnsi="仿宋_GB2312" w:eastAsia="仿宋_GB2312" w:cs="仿宋_GB2312"/>
          <w:color w:val="auto"/>
          <w:sz w:val="32"/>
          <w:szCs w:val="32"/>
          <w:highlight w:val="none"/>
        </w:rPr>
        <w:t>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一是：通过部门项目支出绩效评价，进一步严格落实《中华人民共和国预算法》以及党中央、国务院关于加强预算绩效管理的指示精神，建立健全“花钱必问效、无效必问责”的绩效预算管理机制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提升财政资金的使用效能。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pacing w:line="560" w:lineRule="exact"/>
        <w:ind w:firstLine="640" w:firstLineChars="200"/>
        <w:contextualSpacing/>
        <w:jc w:val="both"/>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年村级运转经费（地方配套）项目从预算编制合理性、资金使用合规性、项目管理的规范性、实施情况、总体绩效目标、各项绩效指标完成情况以及预算执行情况进行科学性评价。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w:t>
      </w:r>
      <w:r>
        <w:rPr>
          <w:rFonts w:hint="eastAsia" w:ascii="仿宋_GB2312" w:hAnsi="仿宋_GB2312" w:cs="仿宋_GB2312"/>
          <w:color w:val="auto"/>
          <w:sz w:val="32"/>
          <w:highlight w:val="none"/>
          <w:lang w:val="en-US" w:eastAsia="zh-CN"/>
        </w:rPr>
        <w:t>等</w:t>
      </w:r>
      <w:r>
        <w:rPr>
          <w:rFonts w:hint="eastAsia" w:ascii="仿宋_GB2312" w:hAnsi="仿宋_GB2312" w:cs="仿宋_GB2312"/>
          <w:color w:val="auto"/>
          <w:sz w:val="32"/>
          <w:highlight w:val="none"/>
        </w:rPr>
        <w:t>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val="0"/>
          <w:color w:val="auto"/>
          <w:sz w:val="32"/>
          <w:highlight w:val="none"/>
        </w:rPr>
      </w:pPr>
      <w:r>
        <w:rPr>
          <w:rFonts w:hint="eastAsia" w:ascii="楷体" w:hAnsi="楷体" w:eastAsia="楷体" w:cs="仿宋_GB2312"/>
          <w:b/>
          <w:bCs w:val="0"/>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（3）激励约束。绩效评价结果应用</w:t>
      </w:r>
      <w:r>
        <w:rPr>
          <w:rFonts w:hint="eastAsia" w:ascii="仿宋_GB2312" w:hAnsi="仿宋_GB2312" w:cs="仿宋_GB2312"/>
          <w:b/>
          <w:bCs/>
          <w:color w:val="auto"/>
          <w:sz w:val="32"/>
          <w:highlight w:val="none"/>
          <w:lang w:eastAsia="zh-CN"/>
        </w:rPr>
        <w:t>、</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lang w:val="en-US" w:eastAsia="zh-CN"/>
        </w:rPr>
      </w:pPr>
      <w:r>
        <w:rPr>
          <w:rFonts w:hint="eastAsia" w:ascii="仿宋_GB2312" w:hAnsi="仿宋_GB2312" w:cs="仿宋_GB2312"/>
          <w:b/>
          <w:bCs/>
          <w:color w:val="auto"/>
          <w:sz w:val="32"/>
          <w:highlight w:val="none"/>
          <w:lang w:eastAsia="zh-CN"/>
        </w:rPr>
        <w:t>2</w:t>
      </w:r>
      <w:r>
        <w:rPr>
          <w:rFonts w:hint="eastAsia" w:ascii="仿宋_GB2312" w:hAnsi="仿宋_GB2312" w:cs="仿宋_GB2312"/>
          <w:b/>
          <w:bCs/>
          <w:color w:val="auto"/>
          <w:sz w:val="32"/>
          <w:highlight w:val="none"/>
        </w:rPr>
        <w:t>．</w:t>
      </w:r>
      <w:r>
        <w:rPr>
          <w:rFonts w:hint="eastAsia" w:ascii="仿宋_GB2312" w:hAnsi="仿宋_GB2312" w:cs="仿宋_GB2312"/>
          <w:b/>
          <w:bCs/>
          <w:color w:val="auto"/>
          <w:sz w:val="32"/>
          <w:highlight w:val="none"/>
          <w:lang w:val="en-US" w:eastAsia="zh-CN"/>
        </w:rPr>
        <w:t>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eastAsia="zh-CN"/>
        </w:rPr>
      </w:pPr>
      <w:r>
        <w:rPr>
          <w:rFonts w:hint="eastAsia" w:ascii="仿宋_GB2312" w:hAnsi="仿宋_GB2312" w:cs="仿宋_GB2312"/>
          <w:color w:val="auto"/>
          <w:sz w:val="32"/>
          <w:highlight w:val="none"/>
          <w:lang w:val="en-US" w:eastAsia="zh-CN"/>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在对2024年村级运转经费（地方配套）项目的深入调研基础上，按照《项目支出绩效评价管理办法》（财预〔2021〕10号）对于指标体系的要求和规范，建立一套适合评价村级运转经费（地方配套）项目的指标体系，从项目决策、项目过程、项目产出和项目绩效四个维度全面考察村级运转经费（地方配套）项目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eastAsia="仿宋_GB2312"/>
          <w:color w:val="auto"/>
          <w:sz w:val="32"/>
          <w:szCs w:val="32"/>
          <w:highlight w:val="none"/>
        </w:rPr>
      </w:pPr>
      <w:r>
        <w:rPr>
          <w:rFonts w:hint="eastAsia" w:ascii="仿宋_GB2312" w:hAnsi="仿宋_GB2312" w:cs="仿宋_GB2312"/>
          <w:b/>
          <w:bCs/>
          <w:color w:val="auto"/>
          <w:sz w:val="32"/>
          <w:highlight w:val="none"/>
          <w:lang w:val="en-US" w:eastAsia="zh-CN"/>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预算编制科学性</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成本效益分析法</w:t>
      </w:r>
      <w:r>
        <w:rPr>
          <w:rFonts w:hint="eastAsia" w:ascii="仿宋_GB2312" w:hAnsi="仿宋_GB2312" w:cs="仿宋_GB2312"/>
          <w:color w:val="auto"/>
          <w:sz w:val="32"/>
          <w:highlight w:val="none"/>
          <w:lang w:val="en-US" w:eastAsia="zh-CN"/>
        </w:rPr>
        <w:tab/>
      </w:r>
      <w:r>
        <w:rPr>
          <w:rFonts w:hint="eastAsia" w:ascii="仿宋_GB2312" w:hAnsi="仿宋_GB2312" w:cs="仿宋_GB2312"/>
          <w:color w:val="auto"/>
          <w:sz w:val="32"/>
          <w:highlight w:val="none"/>
          <w:lang w:val="en-US" w:eastAsia="zh-CN"/>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资金使用合规性：文献法、实地勘察法，一是查找资金管理办法，包括专项资金管理办法和单位自有资金管理办法；二是通过查账了解具体开支情况，是否专用专用，是否按照标准支出。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lang w:val="en-US" w:eastAsia="zh-CN"/>
        </w:rPr>
      </w:pPr>
      <w:r>
        <w:rPr>
          <w:rFonts w:hint="eastAsia" w:ascii="仿宋_GB2312" w:hAnsi="仿宋_GB2312" w:cs="仿宋_GB2312"/>
          <w:color w:val="auto"/>
          <w:sz w:val="32"/>
          <w:highlight w:val="none"/>
          <w:lang w:val="en-US" w:eastAsia="zh-CN"/>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left="0" w:leftChars="0" w:firstLine="643" w:firstLineChars="200"/>
        <w:contextualSpacing/>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绩效评价标准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Chars="0" w:firstLine="640" w:firstLineChars="200"/>
        <w:contextualSpacing/>
        <w:textAlignment w:val="auto"/>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村级运转经费（地方配套）项目属于延续项目，</w:t>
      </w:r>
      <w:r>
        <w:rPr>
          <w:rFonts w:hint="eastAsia" w:ascii="仿宋_GB2312" w:hAnsi="仿宋_GB2312" w:eastAsia="仿宋_GB2312" w:cs="仿宋_GB2312"/>
          <w:b w:val="0"/>
          <w:bCs/>
          <w:color w:val="auto"/>
          <w:sz w:val="32"/>
          <w:szCs w:val="24"/>
          <w:highlight w:val="none"/>
          <w:lang w:val="en-US" w:eastAsia="zh-CN" w:bidi="ar-SA"/>
        </w:rPr>
        <w:t>有</w:t>
      </w:r>
      <w:r>
        <w:rPr>
          <w:rFonts w:hint="eastAsia" w:ascii="仿宋_GB2312" w:hAnsi="仿宋_GB2312" w:eastAsia="仿宋_GB2312" w:cs="仿宋_GB2312"/>
          <w:color w:val="auto"/>
          <w:sz w:val="32"/>
          <w:szCs w:val="24"/>
          <w:highlight w:val="none"/>
          <w:lang w:val="en-US" w:eastAsia="zh-CN" w:bidi="ar-SA"/>
        </w:rPr>
        <w:t>相应的行业标准和历史标准，故采用</w:t>
      </w:r>
      <w:r>
        <w:rPr>
          <w:rFonts w:hint="eastAsia" w:ascii="仿宋_GB2312" w:eastAsia="仿宋_GB2312"/>
          <w:color w:val="auto"/>
          <w:sz w:val="32"/>
          <w:highlight w:val="none"/>
        </w:rPr>
        <w:t>计划标准、历史标准</w:t>
      </w:r>
      <w:r>
        <w:rPr>
          <w:rFonts w:hint="eastAsia" w:ascii="仿宋_GB2312" w:hAnsi="仿宋_GB2312" w:eastAsia="仿宋_GB2312" w:cs="仿宋_GB2312"/>
          <w:color w:val="auto"/>
          <w:sz w:val="32"/>
          <w:szCs w:val="24"/>
          <w:highlight w:val="none"/>
          <w:lang w:val="en-US" w:eastAsia="zh-CN" w:bidi="ar-SA"/>
        </w:rPr>
        <w:t>评价该项目。</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firstLine="643" w:firstLineChars="200"/>
        <w:contextualSpacing/>
        <w:textAlignment w:val="auto"/>
        <w:rPr>
          <w:rFonts w:hint="eastAsia" w:ascii="楷体" w:hAnsi="楷体" w:eastAsia="楷体" w:cs="仿宋_GB2312"/>
          <w:b/>
          <w:bCs/>
          <w:color w:val="auto"/>
          <w:sz w:val="32"/>
          <w:szCs w:val="24"/>
          <w:highlight w:val="none"/>
          <w:lang w:val="en-US" w:eastAsia="zh-CN" w:bidi="ar-SA"/>
        </w:rPr>
      </w:pPr>
      <w:r>
        <w:rPr>
          <w:rFonts w:hint="eastAsia" w:ascii="楷体" w:hAnsi="楷体" w:eastAsia="楷体" w:cs="仿宋_GB2312"/>
          <w:b/>
          <w:bCs/>
          <w:color w:val="auto"/>
          <w:sz w:val="32"/>
          <w:szCs w:val="24"/>
          <w:highlight w:val="none"/>
          <w:lang w:val="en-US" w:eastAsia="zh-CN" w:bidi="ar-SA"/>
        </w:rPr>
        <w:t>（三）绩效评价工作过程。</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spacing w:line="560" w:lineRule="exact"/>
        <w:ind w:left="600" w:leftChars="200"/>
        <w:contextualSpacing/>
        <w:textAlignment w:val="auto"/>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1．前期准备</w:t>
      </w:r>
    </w:p>
    <w:p>
      <w:pPr>
        <w:pStyle w:val="30"/>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本次评价成立了评价工作组，成员如下：</w:t>
      </w:r>
    </w:p>
    <w:tbl>
      <w:tblPr>
        <w:tblStyle w:val="12"/>
        <w:tblW w:w="829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568"/>
        <w:gridCol w:w="1827"/>
        <w:gridCol w:w="3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7"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27"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务</w:t>
            </w:r>
          </w:p>
        </w:tc>
        <w:tc>
          <w:tcPr>
            <w:tcW w:w="3901" w:type="dxa"/>
            <w:vAlign w:val="center"/>
          </w:tcPr>
          <w:p>
            <w:pPr>
              <w:pStyle w:val="30"/>
              <w:keepNext w:val="0"/>
              <w:keepLines w:val="0"/>
              <w:numPr>
                <w:ilvl w:val="0"/>
                <w:numId w:val="0"/>
              </w:numPr>
              <w:spacing w:line="560" w:lineRule="exact"/>
              <w:jc w:val="center"/>
              <w:rPr>
                <w:rFonts w:hint="eastAsia" w:eastAsia="仿宋_GB2312"/>
                <w:b w:val="0"/>
                <w:bCs w:val="0"/>
                <w:color w:val="auto"/>
                <w:highlight w:val="none"/>
                <w:lang w:eastAsia="zh-CN"/>
              </w:rPr>
            </w:pPr>
            <w:r>
              <w:rPr>
                <w:rFonts w:hint="eastAsia"/>
                <w:b w:val="0"/>
                <w:bCs w:val="0"/>
                <w:color w:val="auto"/>
                <w:highlight w:val="none"/>
              </w:rPr>
              <w:t>职</w:t>
            </w:r>
            <w:r>
              <w:rPr>
                <w:rFonts w:hint="eastAsia"/>
                <w:b w:val="0"/>
                <w:bCs w:val="0"/>
                <w:color w:val="auto"/>
                <w:highlight w:val="none"/>
                <w:lang w:val="en-US" w:eastAsia="zh-CN"/>
              </w:rPr>
              <w:t>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李耀辉</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钟鹏</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0" w:hRule="atLeast"/>
          <w:jc w:val="center"/>
        </w:trPr>
        <w:tc>
          <w:tcPr>
            <w:tcW w:w="2568"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拜合提亚尔</w:t>
            </w:r>
          </w:p>
        </w:tc>
        <w:tc>
          <w:tcPr>
            <w:tcW w:w="1827" w:type="dxa"/>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901" w:type="dxa"/>
            <w:vAlign w:val="center"/>
          </w:tcPr>
          <w:p>
            <w:pPr>
              <w:pStyle w:val="30"/>
              <w:keepNext w:val="0"/>
              <w:keepLines w:val="0"/>
              <w:numPr>
                <w:ilvl w:val="0"/>
                <w:numId w:val="0"/>
              </w:numPr>
              <w:spacing w:line="560" w:lineRule="exact"/>
              <w:jc w:val="center"/>
              <w:rPr>
                <w:rFonts w:hint="default" w:eastAsia="仿宋_GB2312"/>
                <w:b w:val="0"/>
                <w:bCs w:val="0"/>
                <w:color w:val="auto"/>
                <w:highlight w:val="none"/>
                <w:lang w:val="en-US" w:eastAsia="zh-CN"/>
              </w:rPr>
            </w:pPr>
            <w:r>
              <w:rPr>
                <w:rFonts w:hint="eastAsia"/>
                <w:b w:val="0"/>
                <w:bCs w:val="0"/>
                <w:color w:val="auto"/>
                <w:highlight w:val="none"/>
                <w:lang w:val="en-US" w:eastAsia="zh-CN"/>
              </w:rPr>
              <w:t>出具项目绩效评价报告</w:t>
            </w:r>
          </w:p>
        </w:tc>
      </w:tr>
    </w:tbl>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村级运转经费（地方配套）项目的内容和特征制定了评价指标体系及评价标准以及评价实施方案，修正并确定所需资料清单，最终确定实施方案。</w:t>
      </w:r>
    </w:p>
    <w:p>
      <w:pPr>
        <w:pStyle w:val="29"/>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9"/>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2025年4月1日-4月20日，评价工作进入实施阶段。数据采集方面，评价组整理单位前期提交的各项资料，与项目实施负责人沟通，了解部门预算资金的内容、操作流程、管理机制、资金使用方向等情况</w:t>
      </w:r>
      <w:bookmarkStart w:id="0" w:name="_GoBack"/>
      <w:bookmarkEnd w:id="0"/>
      <w:r>
        <w:rPr>
          <w:rFonts w:hint="eastAsia" w:ascii="仿宋_GB2312" w:hAnsi="仿宋_GB2312" w:eastAsia="仿宋_GB2312" w:cs="仿宋_GB2312"/>
          <w:color w:val="auto"/>
          <w:sz w:val="32"/>
          <w:szCs w:val="24"/>
          <w:highlight w:val="none"/>
          <w:lang w:val="en-US" w:eastAsia="zh-CN" w:bidi="ar-SA"/>
        </w:rPr>
        <w:t>。</w:t>
      </w:r>
    </w:p>
    <w:p>
      <w:pPr>
        <w:pStyle w:val="29"/>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9"/>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2025年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9"/>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9"/>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9"/>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组织管理、产出与效益效果。在此基础上，以相关的项目数据为基础，综合运用不同的评价方法，结合评价标准和评分规则，村级运转经费（地方配套）项目综合得分为100分，</w:t>
      </w:r>
      <w:r>
        <w:rPr>
          <w:rFonts w:hint="eastAsia" w:ascii="仿宋_GB2312" w:hAnsi="Cambria" w:eastAsia="仿宋_GB2312"/>
          <w:color w:val="auto"/>
          <w:sz w:val="32"/>
          <w:szCs w:val="32"/>
          <w:highlight w:val="none"/>
        </w:rPr>
        <w:t>评价结果为优。</w:t>
      </w:r>
    </w:p>
    <w:p>
      <w:pPr>
        <w:pStyle w:val="29"/>
        <w:spacing w:line="560" w:lineRule="exact"/>
        <w:ind w:firstLine="585" w:firstLineChars="182"/>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zh-CN" w:eastAsia="zh-CN" w:bidi="ar-SA"/>
        </w:rPr>
        <w:t>202</w:t>
      </w:r>
      <w:r>
        <w:rPr>
          <w:rFonts w:hint="eastAsia" w:ascii="仿宋_GB2312" w:hAnsi="仿宋_GB2312" w:eastAsia="仿宋_GB2312" w:cs="仿宋_GB2312"/>
          <w:b/>
          <w:color w:val="auto"/>
          <w:sz w:val="32"/>
          <w:szCs w:val="32"/>
          <w:highlight w:val="none"/>
          <w:lang w:val="en-US" w:eastAsia="zh-CN" w:bidi="ar-SA"/>
        </w:rPr>
        <w:t>4年村级运转经费（地方配套）评价得分情况</w:t>
      </w:r>
    </w:p>
    <w:tbl>
      <w:tblPr>
        <w:tblStyle w:val="12"/>
        <w:tblW w:w="9309" w:type="dxa"/>
        <w:jc w:val="center"/>
        <w:tblInd w:w="0" w:type="dxa"/>
        <w:tblLayout w:type="fixed"/>
        <w:tblCellMar>
          <w:top w:w="0" w:type="dxa"/>
          <w:left w:w="10" w:type="dxa"/>
          <w:bottom w:w="0" w:type="dxa"/>
          <w:right w:w="10" w:type="dxa"/>
        </w:tblCellMar>
      </w:tblPr>
      <w:tblGrid>
        <w:gridCol w:w="1447"/>
        <w:gridCol w:w="2045"/>
        <w:gridCol w:w="1951"/>
        <w:gridCol w:w="3866"/>
      </w:tblGrid>
      <w:tr>
        <w:tblPrEx>
          <w:tblLayout w:type="fixed"/>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Layout w:type="fixed"/>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35"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3866" w:type="dxa"/>
            <w:tcBorders>
              <w:top w:val="single" w:color="auto" w:sz="4" w:space="0"/>
              <w:left w:val="single" w:color="auto" w:sz="4" w:space="0"/>
              <w:right w:val="single" w:color="auto" w:sz="4" w:space="0"/>
            </w:tcBorders>
            <w:shd w:val="clear" w:color="auto" w:fill="FFFFFF"/>
            <w:vAlign w:val="bottom"/>
          </w:tcPr>
          <w:p>
            <w:pPr>
              <w:pStyle w:val="32"/>
              <w:spacing w:line="560" w:lineRule="exact"/>
              <w:ind w:firstLine="0"/>
              <w:jc w:val="left"/>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857" w:hRule="exact"/>
          <w:jc w:val="center"/>
        </w:trPr>
        <w:tc>
          <w:tcPr>
            <w:tcW w:w="1447"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right w:val="single" w:color="auto" w:sz="4" w:space="0"/>
            </w:tcBorders>
            <w:shd w:val="clear" w:color="auto" w:fill="FFFFFF"/>
            <w:vAlign w:val="center"/>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r>
        <w:tblPrEx>
          <w:tblLayout w:type="fixed"/>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w:t>
            </w:r>
          </w:p>
        </w:tc>
        <w:tc>
          <w:tcPr>
            <w:tcW w:w="3866" w:type="dxa"/>
            <w:tcBorders>
              <w:top w:val="single" w:color="auto" w:sz="4" w:space="0"/>
              <w:left w:val="single" w:color="auto" w:sz="4" w:space="0"/>
              <w:bottom w:val="single" w:color="auto" w:sz="4" w:space="0"/>
              <w:right w:val="single" w:color="auto" w:sz="4" w:space="0"/>
            </w:tcBorders>
            <w:shd w:val="clear" w:color="auto" w:fill="FFFFFF"/>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年村级运转经费（地方配套）</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val="en-US" w:eastAsia="zh-CN"/>
        </w:rPr>
        <w:t>本项目根据《关于加强村级组织运转经费保障工作的通知》《中国共产党农村基层组织工作条例》相关政策要求，本年度保障行政村数量7个，办公楼取暖面积8170平方米，确保各村级委员会正常运转，保证各村各项工作的顺利开展，进一步提高村级工作效率及工作质量。</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eastAsia="仿宋_GB2312" w:cs="宋体"/>
          <w:color w:val="auto"/>
          <w:kern w:val="0"/>
          <w:sz w:val="32"/>
          <w:szCs w:val="32"/>
          <w:highlight w:val="none"/>
          <w:lang w:val="en-US" w:eastAsia="zh-CN" w:bidi="ar-SA"/>
        </w:rPr>
        <w:t>村级运转经费（地方配套）项目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35</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100</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w:t>
      </w:r>
      <w:r>
        <w:rPr>
          <w:rFonts w:hint="eastAsia" w:ascii="仿宋_GB2312" w:hAnsi="仿宋" w:cs="宋体"/>
          <w:color w:val="auto"/>
          <w:sz w:val="32"/>
          <w:szCs w:val="32"/>
          <w:highlight w:val="none"/>
          <w:lang w:val="en-US" w:eastAsia="zh-CN"/>
        </w:rPr>
        <w:t>严格</w:t>
      </w:r>
      <w:r>
        <w:rPr>
          <w:rFonts w:hint="eastAsia" w:ascii="仿宋_GB2312" w:hAnsi="仿宋" w:cs="宋体"/>
          <w:color w:val="auto"/>
          <w:sz w:val="32"/>
          <w:szCs w:val="32"/>
          <w:highlight w:val="none"/>
        </w:rPr>
        <w:t>按照规定的程序申请设立；审批文件、材料符合相关要求；项目前期已经过必要的可行性研究、专家论证、风险评估、绩效评估、集体决策。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w:t>
      </w:r>
      <w:r>
        <w:rPr>
          <w:rFonts w:hint="eastAsia" w:ascii="仿宋_GB2312" w:hAnsi="仿宋" w:cs="宋体"/>
          <w:color w:val="auto"/>
          <w:sz w:val="32"/>
          <w:szCs w:val="32"/>
          <w:highlight w:val="none"/>
          <w:lang w:val="en-US" w:eastAsia="zh-CN"/>
        </w:rPr>
        <w:t>绩效目标</w:t>
      </w:r>
      <w:r>
        <w:rPr>
          <w:rFonts w:hint="eastAsia" w:ascii="仿宋_GB2312" w:hAnsi="仿宋" w:cs="宋体"/>
          <w:color w:val="auto"/>
          <w:sz w:val="32"/>
          <w:szCs w:val="32"/>
          <w:highlight w:val="none"/>
        </w:rPr>
        <w:t>与实际工作内容相关；项目预期产出效益和效果符合正常的业绩水平；</w:t>
      </w:r>
      <w:r>
        <w:rPr>
          <w:rFonts w:hint="eastAsia" w:ascii="仿宋_GB2312" w:hAnsi="仿宋" w:cs="宋体"/>
          <w:color w:val="auto"/>
          <w:sz w:val="32"/>
          <w:szCs w:val="32"/>
          <w:highlight w:val="none"/>
          <w:lang w:val="en-US" w:eastAsia="zh-CN"/>
        </w:rPr>
        <w:t>目标设置</w:t>
      </w:r>
      <w:r>
        <w:rPr>
          <w:rFonts w:hint="eastAsia" w:ascii="仿宋_GB2312" w:hAnsi="仿宋" w:cs="宋体"/>
          <w:color w:val="auto"/>
          <w:sz w:val="32"/>
          <w:szCs w:val="32"/>
          <w:highlight w:val="none"/>
        </w:rPr>
        <w:t>与预算确定的项目投资额或资金量相匹配。</w:t>
      </w:r>
      <w:r>
        <w:rPr>
          <w:rFonts w:hint="eastAsia" w:ascii="仿宋_GB2312" w:hAnsi="仿宋" w:cs="宋体"/>
          <w:color w:val="auto"/>
          <w:sz w:val="32"/>
          <w:szCs w:val="32"/>
          <w:highlight w:val="none"/>
          <w:lang w:val="en-US" w:eastAsia="zh-CN"/>
        </w:rPr>
        <w:t>严格按照要求</w:t>
      </w:r>
      <w:r>
        <w:rPr>
          <w:rFonts w:hint="eastAsia" w:ascii="仿宋_GB2312" w:hAnsi="仿宋" w:cs="宋体"/>
          <w:color w:val="auto"/>
          <w:sz w:val="32"/>
          <w:szCs w:val="32"/>
          <w:highlight w:val="none"/>
        </w:rPr>
        <w:t>将项目绩效目标细化分解为具体的绩效指标</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hint="eastAsia" w:ascii="仿宋_GB2312" w:hAnsi="仿宋_GB2312" w:eastAsia="仿宋_GB2312" w:cs="仿宋_GB2312"/>
          <w:color w:val="auto"/>
          <w:sz w:val="32"/>
          <w:szCs w:val="32"/>
          <w:highlight w:val="none"/>
          <w:lang w:eastAsia="zh-CN"/>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r>
        <w:rPr>
          <w:rFonts w:hint="eastAsia" w:ascii="仿宋_GB2312" w:hAnsi="仿宋" w:cs="宋体"/>
          <w:color w:val="auto"/>
          <w:sz w:val="32"/>
          <w:szCs w:val="32"/>
          <w:highlight w:val="none"/>
          <w:lang w:eastAsia="zh-CN"/>
        </w:rPr>
        <w:t>。</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w:t>
      </w:r>
      <w:r>
        <w:rPr>
          <w:rFonts w:hint="eastAsia" w:ascii="仿宋_GB2312" w:hAnsi="仿宋" w:cs="宋体"/>
          <w:color w:val="auto"/>
          <w:sz w:val="32"/>
          <w:szCs w:val="32"/>
          <w:highlight w:val="none"/>
          <w:lang w:val="en-US" w:eastAsia="zh-CN"/>
        </w:rPr>
        <w:t>并</w:t>
      </w:r>
      <w:r>
        <w:rPr>
          <w:rFonts w:hint="eastAsia" w:ascii="仿宋_GB2312" w:hAnsi="仿宋" w:cs="宋体"/>
          <w:color w:val="auto"/>
          <w:sz w:val="32"/>
          <w:szCs w:val="32"/>
          <w:highlight w:val="none"/>
        </w:rPr>
        <w:t>及时支付，资金使用符合国家法规和财务管理制度；资金拨付有完整的审批程序和手续，符合项目预算批复或合同规定的用途；</w:t>
      </w:r>
      <w:r>
        <w:rPr>
          <w:rFonts w:hint="eastAsia" w:ascii="仿宋_GB2312" w:hAnsi="仿宋" w:cs="宋体"/>
          <w:color w:val="auto"/>
          <w:sz w:val="32"/>
          <w:szCs w:val="32"/>
          <w:highlight w:val="none"/>
          <w:lang w:val="en-US" w:eastAsia="zh-CN"/>
        </w:rPr>
        <w:t>不</w:t>
      </w:r>
      <w:r>
        <w:rPr>
          <w:rFonts w:hint="eastAsia" w:ascii="仿宋_GB2312" w:hAnsi="仿宋" w:cs="宋体"/>
          <w:color w:val="auto"/>
          <w:sz w:val="32"/>
          <w:szCs w:val="32"/>
          <w:highlight w:val="none"/>
        </w:rPr>
        <w:t>存在截留、挤占、挪用、虚列支出等情况。</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textAlignment w:val="auto"/>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w:t>
      </w: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5年</w:t>
      </w:r>
      <w:r>
        <w:rPr>
          <w:rFonts w:hint="eastAsia" w:ascii="仿宋_GB2312" w:hAnsi="仿宋_GB2312" w:cs="仿宋_GB2312"/>
          <w:color w:val="auto"/>
          <w:sz w:val="32"/>
          <w:szCs w:val="32"/>
          <w:highlight w:val="none"/>
        </w:rPr>
        <w:t>村级运转经费（地方配套）项目预算依据</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继而进行该项目支出预算的编制、执行和上报等工作。在项目预算的编制工程中，坚持履行政府职能方面的轻重缓急程度进行先后排序，坚持对村级运转经费（地方配套）项目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w:t>
      </w:r>
      <w:r>
        <w:rPr>
          <w:rFonts w:hint="eastAsia" w:ascii="仿宋_GB2312" w:hAnsi="仿宋_GB2312" w:cs="仿宋_GB2312"/>
          <w:color w:val="auto"/>
          <w:sz w:val="32"/>
          <w:szCs w:val="32"/>
          <w:highlight w:val="none"/>
          <w:lang w:val="en-US" w:eastAsia="zh-CN"/>
        </w:rPr>
        <w:t>阿图什市</w:t>
      </w:r>
      <w:r>
        <w:rPr>
          <w:rFonts w:hint="eastAsia" w:ascii="仿宋_GB2312" w:hAnsi="仿宋_GB2312" w:cs="仿宋_GB2312"/>
          <w:color w:val="auto"/>
          <w:sz w:val="32"/>
          <w:szCs w:val="32"/>
          <w:highlight w:val="none"/>
        </w:rPr>
        <w:t>财政局从资金申请、资金使用、会计核算三个环节加强资金管理。在项目资金申请环节，负责科室严格按照国库集中支付流程向市财政局申请财政资金，我局通过召开党组会议确定村级运转经费（地方配套）项目组织形式，明确了该项目经费的开支范围为</w:t>
      </w:r>
      <w:r>
        <w:rPr>
          <w:rFonts w:hint="eastAsia" w:ascii="仿宋_GB2312" w:hAnsi="仿宋_GB2312" w:cs="仿宋_GB2312"/>
          <w:color w:val="auto"/>
          <w:sz w:val="32"/>
          <w:szCs w:val="32"/>
          <w:highlight w:val="none"/>
          <w:lang w:val="en-US" w:eastAsia="zh-CN"/>
        </w:rPr>
        <w:t>取暖费用</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，严格做到专款专用，责任到人。在资金使用环节，严格遵守相关规定，严格按照我局资金财务审批流程办理款项支付。在会计核算环节，对本项目资金实际单独核算，确保</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w:t>
      </w:r>
      <w:r>
        <w:rPr>
          <w:rFonts w:hint="eastAsia" w:ascii="仿宋_GB2312" w:hAnsi="仿宋_GB2312" w:cs="仿宋_GB2312"/>
          <w:color w:val="auto"/>
          <w:sz w:val="32"/>
          <w:szCs w:val="32"/>
          <w:highlight w:val="none"/>
          <w:lang w:eastAsia="zh-CN"/>
        </w:rPr>
        <w:t>nk</w:t>
      </w:r>
      <w:r>
        <w:rPr>
          <w:rFonts w:hint="eastAsia" w:ascii="仿宋_GB2312" w:hAnsi="仿宋_GB2312" w:cs="仿宋_GB2312"/>
          <w:color w:val="auto"/>
          <w:sz w:val="32"/>
          <w:szCs w:val="32"/>
          <w:highlight w:val="none"/>
        </w:rPr>
        <w:t>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年初财政批复的</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（4）严格按照政府采购制度规范实施政府采购。对于需要实施政府采购的活动，严格实施、履行采购手续，根据村级运转经费（地方配套）</w:t>
      </w:r>
      <w:r>
        <w:rPr>
          <w:rFonts w:hint="eastAsia" w:ascii="仿宋_GB2312" w:hAnsi="仿宋_GB2312" w:cs="仿宋_GB2312"/>
          <w:color w:val="auto"/>
          <w:sz w:val="32"/>
          <w:szCs w:val="32"/>
          <w:highlight w:val="none"/>
          <w:lang w:val="en-US" w:eastAsia="zh-CN"/>
        </w:rPr>
        <w:t>项目的需求</w:t>
      </w:r>
      <w:r>
        <w:rPr>
          <w:rFonts w:hint="eastAsia" w:ascii="仿宋_GB2312" w:hAnsi="仿宋_GB2312" w:cs="仿宋_GB2312"/>
          <w:color w:val="auto"/>
          <w:sz w:val="32"/>
          <w:szCs w:val="32"/>
          <w:highlight w:val="none"/>
        </w:rPr>
        <w:t>，选择合规可行的采购形式，</w:t>
      </w:r>
      <w:r>
        <w:rPr>
          <w:rFonts w:hint="eastAsia" w:ascii="仿宋_GB2312" w:hAnsi="仿宋_GB2312" w:cs="仿宋_GB2312"/>
          <w:color w:val="auto"/>
          <w:sz w:val="32"/>
          <w:szCs w:val="32"/>
          <w:highlight w:val="none"/>
          <w:lang w:val="en-US" w:eastAsia="zh-CN"/>
        </w:rPr>
        <w:t>进行政府采购</w:t>
      </w:r>
      <w:r>
        <w:rPr>
          <w:rFonts w:hint="eastAsia" w:ascii="仿宋_GB2312" w:hAnsi="仿宋_GB2312" w:cs="仿宋_GB2312"/>
          <w:color w:val="auto"/>
          <w:sz w:val="32"/>
          <w:szCs w:val="32"/>
          <w:highlight w:val="none"/>
        </w:rPr>
        <w:t>，将采购政策、采购程序、采购过程规范化、透明化，提升村级运转经费（地方配套）</w:t>
      </w:r>
      <w:r>
        <w:rPr>
          <w:rFonts w:hint="eastAsia" w:ascii="仿宋_GB2312" w:hAnsi="仿宋_GB2312" w:cs="仿宋_GB2312"/>
          <w:color w:val="auto"/>
          <w:sz w:val="32"/>
          <w:szCs w:val="32"/>
          <w:highlight w:val="none"/>
          <w:lang w:val="en-US" w:eastAsia="zh-CN"/>
        </w:rPr>
        <w:t>项目</w:t>
      </w:r>
      <w:r>
        <w:rPr>
          <w:rFonts w:hint="eastAsia" w:ascii="仿宋_GB2312" w:hAnsi="仿宋_GB2312" w:cs="仿宋_GB2312"/>
          <w:color w:val="auto"/>
          <w:sz w:val="32"/>
          <w:szCs w:val="32"/>
          <w:highlight w:val="none"/>
        </w:rPr>
        <w:t>相关资源和</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资金的使用效果。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（5）依照预算资金管理制度，按照不定期检查与项目周期检查相结合的方式，对</w:t>
      </w:r>
      <w:r>
        <w:rPr>
          <w:rFonts w:hint="eastAsia" w:ascii="仿宋_GB2312" w:hAnsi="仿宋_GB2312" w:cs="仿宋_GB2312"/>
          <w:color w:val="auto"/>
          <w:sz w:val="32"/>
          <w:szCs w:val="32"/>
          <w:highlight w:val="none"/>
          <w:lang w:val="en-US" w:eastAsia="zh-CN"/>
        </w:rPr>
        <w:t>财政</w:t>
      </w:r>
      <w:r>
        <w:rPr>
          <w:rFonts w:hint="eastAsia" w:ascii="仿宋_GB2312" w:hAnsi="仿宋_GB2312" w:cs="仿宋_GB2312"/>
          <w:color w:val="auto"/>
          <w:sz w:val="32"/>
          <w:szCs w:val="32"/>
          <w:highlight w:val="none"/>
        </w:rPr>
        <w:t>资金的使用情况进行监督检查。重点督查专项资金的使用进度，资金落实情况，对发现的问题，采取措施及时纠正、强化管理，有效杜绝了专项资金在分配使用过程中的</w:t>
      </w:r>
      <w:r>
        <w:rPr>
          <w:rFonts w:hint="eastAsia" w:ascii="仿宋_GB2312" w:hAnsi="仿宋_GB2312" w:cs="仿宋_GB2312"/>
          <w:color w:val="auto"/>
          <w:sz w:val="32"/>
          <w:szCs w:val="32"/>
          <w:highlight w:val="none"/>
          <w:lang w:eastAsia="zh-CN"/>
        </w:rPr>
        <w:t>wjwg</w:t>
      </w:r>
      <w:r>
        <w:rPr>
          <w:rFonts w:hint="eastAsia" w:ascii="仿宋_GB2312" w:hAnsi="仿宋_GB2312" w:cs="仿宋_GB2312"/>
          <w:color w:val="auto"/>
          <w:sz w:val="32"/>
          <w:szCs w:val="32"/>
          <w:highlight w:val="none"/>
        </w:rPr>
        <w:t>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年村级运转经费（地方配套）在实施阶段均制定了具体的组织实施文件，各个项目均经过项目申报、项目评审、项目核准备案、</w:t>
      </w:r>
      <w:r>
        <w:rPr>
          <w:rFonts w:hint="eastAsia" w:ascii="仿宋_GB2312" w:hAnsi="仿宋_GB2312" w:cs="仿宋_GB2312"/>
          <w:color w:val="auto"/>
          <w:sz w:val="32"/>
          <w:szCs w:val="32"/>
          <w:highlight w:val="none"/>
          <w:lang w:val="en-US" w:eastAsia="zh-CN"/>
        </w:rPr>
        <w:t>政府采购</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val="0"/>
          <w:color w:val="auto"/>
          <w:sz w:val="32"/>
          <w:szCs w:val="32"/>
          <w:highlight w:val="none"/>
        </w:rPr>
      </w:pPr>
      <w:r>
        <w:rPr>
          <w:rFonts w:hint="eastAsia" w:ascii="楷体" w:hAnsi="楷体" w:eastAsia="楷体" w:cs="仿宋_GB2312"/>
          <w:b/>
          <w:bCs w:val="0"/>
          <w:color w:val="auto"/>
          <w:sz w:val="32"/>
          <w:szCs w:val="32"/>
          <w:highlight w:val="none"/>
        </w:rPr>
        <w:t>（三）项目产出情况</w:t>
      </w:r>
    </w:p>
    <w:p>
      <w:pPr>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数量指标为涉及行政村数量，预期指标值是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7个，实际完成值是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7个，指标达到预期目标。</w:t>
      </w:r>
    </w:p>
    <w:p>
      <w:pPr>
        <w:keepNext w:val="0"/>
        <w:keepLines w:val="0"/>
        <w:pageBreakBefore w:val="0"/>
        <w:widowControl w:val="0"/>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数量指标为办公楼取暖费面积，预期指标值是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8170平方米，实际完成值是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8170平方米，指标达到预期目标。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2．</w:t>
      </w:r>
      <w:r>
        <w:rPr>
          <w:rFonts w:hint="eastAsia" w:ascii="仿宋_GB2312"/>
          <w:b/>
          <w:bCs w:val="0"/>
          <w:color w:val="auto"/>
          <w:sz w:val="32"/>
          <w:szCs w:val="32"/>
          <w:highlight w:val="none"/>
        </w:rPr>
        <w:t>质量指标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质量指标为资金使用合规率，预期指标值是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质量指标为工作质量达标率，预期指标值是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100%，指标达到预期目标。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0" w:leftChars="0" w:firstLine="643" w:firstLineChars="200"/>
        <w:jc w:val="both"/>
        <w:textAlignment w:val="auto"/>
        <w:rPr>
          <w:rFonts w:hint="eastAsia" w:ascii="仿宋_GB2312"/>
          <w:color w:val="auto"/>
          <w:sz w:val="32"/>
          <w:szCs w:val="32"/>
          <w:highlight w:val="none"/>
        </w:rPr>
      </w:pPr>
      <w:r>
        <w:rPr>
          <w:rFonts w:hint="default" w:ascii="仿宋_GB2312" w:eastAsia="仿宋_GB2312"/>
          <w:b/>
          <w:bCs/>
          <w:color w:val="auto"/>
          <w:kern w:val="2"/>
          <w:sz w:val="32"/>
          <w:szCs w:val="32"/>
          <w:highlight w:val="none"/>
          <w:lang w:val="en-US" w:eastAsia="zh-CN" w:bidi="ar-SA"/>
        </w:rPr>
        <w:t>3．</w:t>
      </w:r>
      <w:r>
        <w:rPr>
          <w:rFonts w:hint="eastAsia" w:ascii="仿宋_GB2312"/>
          <w:b/>
          <w:color w:val="auto"/>
          <w:sz w:val="32"/>
          <w:szCs w:val="32"/>
          <w:highlight w:val="none"/>
        </w:rPr>
        <w:t>时效指标</w:t>
      </w:r>
    </w:p>
    <w:p>
      <w:pPr>
        <w:keepNext w:val="0"/>
        <w:keepLines w:val="0"/>
        <w:pageBreakBefore w:val="0"/>
        <w:widowControl w:val="0"/>
        <w:numPr>
          <w:ilvl w:val="0"/>
          <w:numId w:val="0"/>
        </w:numPr>
        <w:pBdr>
          <w:top w:val="none" w:color="auto" w:sz="0" w:space="0"/>
          <w:left w:val="none" w:color="auto" w:sz="0" w:space="0"/>
          <w:bottom w:val="none" w:color="auto" w:sz="0" w:space="31"/>
          <w:right w:val="none" w:color="auto" w:sz="0" w:space="2"/>
        </w:pBdr>
        <w:kinsoku/>
        <w:wordWrap/>
        <w:overflowPunct/>
        <w:topLinePunct w:val="0"/>
        <w:autoSpaceDE/>
        <w:autoSpaceDN w:val="0"/>
        <w:bidi w:val="0"/>
        <w:adjustRightInd w:val="0"/>
        <w:snapToGrid w:val="0"/>
        <w:spacing w:line="560" w:lineRule="exact"/>
        <w:ind w:left="600" w:leftChars="200"/>
        <w:jc w:val="both"/>
        <w:textAlignment w:val="auto"/>
        <w:rPr>
          <w:rFonts w:ascii="仿宋_GB2312"/>
          <w:color w:val="auto"/>
          <w:sz w:val="32"/>
          <w:szCs w:val="32"/>
          <w:highlight w:val="none"/>
        </w:rPr>
      </w:pPr>
      <w:r>
        <w:rPr>
          <w:rFonts w:hint="eastAsia" w:ascii="仿宋_GB2312"/>
          <w:color w:val="auto"/>
          <w:sz w:val="32"/>
          <w:szCs w:val="32"/>
          <w:highlight w:val="none"/>
        </w:rPr>
        <w:t>时效指标为项目完成时间，预期指标值是2024年12月，</w:t>
      </w:r>
      <w:r>
        <w:rPr>
          <w:rFonts w:hint="eastAsia" w:ascii="仿宋_GB2312"/>
          <w:color w:val="auto"/>
          <w:sz w:val="32"/>
          <w:szCs w:val="32"/>
          <w:highlight w:val="none"/>
          <w:lang w:val="en-US" w:eastAsia="zh-CN"/>
        </w:rPr>
        <w:t>实际</w:t>
      </w:r>
      <w:r>
        <w:rPr>
          <w:rFonts w:hint="eastAsia" w:ascii="仿宋_GB2312"/>
          <w:color w:val="auto"/>
          <w:sz w:val="32"/>
          <w:szCs w:val="32"/>
          <w:highlight w:val="none"/>
        </w:rPr>
        <w:t>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2024年12月，指标达到预期目标。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b/>
          <w:color w:val="auto"/>
          <w:sz w:val="32"/>
          <w:szCs w:val="32"/>
          <w:highlight w:val="none"/>
        </w:rPr>
      </w:pPr>
      <w:r>
        <w:rPr>
          <w:rFonts w:hint="eastAsia" w:ascii="仿宋_GB2312"/>
          <w:b/>
          <w:color w:val="auto"/>
          <w:sz w:val="32"/>
          <w:szCs w:val="32"/>
          <w:highlight w:val="none"/>
        </w:rPr>
        <w:t>4．成本指标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color w:val="auto"/>
          <w:sz w:val="32"/>
          <w:szCs w:val="32"/>
          <w:highlight w:val="none"/>
        </w:rPr>
      </w:pPr>
      <w:r>
        <w:rPr>
          <w:rFonts w:hint="eastAsia" w:ascii="仿宋_GB2312"/>
          <w:color w:val="auto"/>
          <w:sz w:val="32"/>
          <w:szCs w:val="32"/>
          <w:highlight w:val="none"/>
        </w:rPr>
        <w:t>成本指标为办公楼取暖费成本，预期指标值是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42.83元/平方米，实际完成值是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42.83元/平方米，指标达到预期目标。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ascii="楷体" w:hAnsi="楷体" w:eastAsia="楷体" w:cs="宋体"/>
          <w:b/>
          <w:bCs w:val="0"/>
          <w:color w:val="auto"/>
          <w:sz w:val="32"/>
          <w:szCs w:val="32"/>
          <w:highlight w:val="none"/>
        </w:rPr>
      </w:pPr>
      <w:r>
        <w:rPr>
          <w:rFonts w:hint="eastAsia" w:ascii="楷体" w:hAnsi="楷体" w:eastAsia="楷体" w:cs="宋体"/>
          <w:b/>
          <w:bCs w:val="0"/>
          <w:color w:val="auto"/>
          <w:sz w:val="32"/>
          <w:szCs w:val="32"/>
          <w:highlight w:val="none"/>
        </w:rPr>
        <w:t>（四）项目效益情况</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指标为保障各村日常工作正常运行，预期指标值是有效保障，实际完成值是有效保障，指标达到预期目标。</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eastAsia="仿宋_GB2312"/>
          <w:color w:val="auto"/>
          <w:sz w:val="32"/>
          <w:szCs w:val="32"/>
          <w:highlight w:val="none"/>
          <w:lang w:eastAsia="zh-CN"/>
        </w:rPr>
      </w:pPr>
      <w:r>
        <w:rPr>
          <w:rFonts w:hint="eastAsia" w:ascii="仿宋_GB2312" w:hAnsi="仿宋" w:cs="宋体"/>
          <w:bCs/>
          <w:color w:val="auto"/>
          <w:sz w:val="32"/>
          <w:szCs w:val="32"/>
          <w:highlight w:val="none"/>
          <w:lang w:val="en-US" w:eastAsia="zh-CN"/>
        </w:rPr>
        <w:t>无</w:t>
      </w:r>
    </w:p>
    <w:p>
      <w:pPr>
        <w:pageBreakBefore w:val="0"/>
        <w:widowControl w:val="0"/>
        <w:kinsoku/>
        <w:wordWrap/>
        <w:overflowPunct/>
        <w:topLinePunct w:val="0"/>
        <w:autoSpaceDE/>
        <w:bidi w:val="0"/>
        <w:spacing w:line="560" w:lineRule="exact"/>
        <w:ind w:firstLine="643" w:firstLineChars="200"/>
        <w:jc w:val="both"/>
        <w:textAlignment w:val="auto"/>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lang w:val="en-US" w:eastAsia="zh-CN"/>
        </w:rPr>
        <w:t>4</w:t>
      </w:r>
      <w:r>
        <w:rPr>
          <w:rFonts w:hint="eastAsia" w:ascii="仿宋_GB2312" w:hAnsi="仿宋" w:cs="宋体"/>
          <w:b/>
          <w:bCs/>
          <w:color w:val="auto"/>
          <w:sz w:val="32"/>
          <w:szCs w:val="32"/>
          <w:highlight w:val="none"/>
        </w:rPr>
        <w:t>．满意度指标</w:t>
      </w:r>
    </w:p>
    <w:p>
      <w:pPr>
        <w:pageBreakBefore w:val="0"/>
        <w:widowControl w:val="0"/>
        <w:kinsoku/>
        <w:wordWrap/>
        <w:overflowPunct/>
        <w:topLinePunct w:val="0"/>
        <w:autoSpaceDE/>
        <w:bidi w:val="0"/>
        <w:spacing w:line="560" w:lineRule="exact"/>
        <w:ind w:firstLine="640" w:firstLineChars="200"/>
        <w:jc w:val="both"/>
        <w:textAlignment w:val="auto"/>
        <w:rPr>
          <w:rFonts w:hint="eastAsia" w:ascii="仿宋_GB2312"/>
          <w:color w:val="auto"/>
          <w:sz w:val="32"/>
          <w:szCs w:val="32"/>
          <w:highlight w:val="none"/>
        </w:rPr>
      </w:pPr>
      <w:r>
        <w:rPr>
          <w:rFonts w:hint="eastAsia" w:ascii="仿宋_GB2312"/>
          <w:color w:val="auto"/>
          <w:sz w:val="32"/>
          <w:szCs w:val="32"/>
          <w:highlight w:val="none"/>
        </w:rPr>
        <w:t>工作人员满意度，预期指标值是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95%，指标达到预期目标。</w:t>
      </w:r>
    </w:p>
    <w:p>
      <w:pPr>
        <w:pStyle w:val="5"/>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hint="eastAsia" w:ascii="黑体" w:hAnsi="黑体" w:eastAsia="黑体" w:cs="仿宋_GB2312"/>
          <w:b w:val="0"/>
          <w:bCs w:val="0"/>
          <w:color w:val="auto"/>
          <w:kern w:val="2"/>
          <w:sz w:val="32"/>
          <w:szCs w:val="32"/>
          <w:highlight w:val="none"/>
          <w:lang w:val="en-US" w:eastAsia="zh-CN" w:bidi="ar-SA"/>
        </w:rPr>
      </w:pPr>
      <w:r>
        <w:rPr>
          <w:rFonts w:hint="default" w:ascii="黑体" w:hAnsi="黑体" w:eastAsia="黑体" w:cs="仿宋_GB2312"/>
          <w:b w:val="0"/>
          <w:bCs w:val="0"/>
          <w:color w:val="auto"/>
          <w:kern w:val="2"/>
          <w:sz w:val="32"/>
          <w:szCs w:val="32"/>
          <w:highlight w:val="none"/>
          <w:lang w:val="en-US" w:eastAsia="zh-CN" w:bidi="ar-SA"/>
        </w:rPr>
        <w:t>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本项目实施效果较好的原因主要是管理制度完善、责任落实到位，跟踪考核机制完善且运行有效，在项目实施过程中创新管理办法，采用成本效益分析法、因素分析法的方式使项目取得了良好的效果</w:t>
      </w:r>
      <w:r>
        <w:rPr>
          <w:rFonts w:hint="eastAsia"/>
          <w:b w:val="0"/>
          <w:color w:val="auto"/>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43" w:firstLineChars="200"/>
        <w:jc w:val="both"/>
        <w:textAlignment w:val="auto"/>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default"/>
          <w:b w:val="0"/>
          <w:bCs w:val="0"/>
          <w:color w:val="auto"/>
          <w:highlight w:val="none"/>
          <w:lang w:val="en-US" w:eastAsia="zh-CN"/>
        </w:rPr>
      </w:pPr>
      <w:r>
        <w:rPr>
          <w:rFonts w:hint="eastAsia"/>
          <w:b w:val="0"/>
          <w:bCs w:val="0"/>
          <w:color w:val="auto"/>
          <w:highlight w:val="none"/>
          <w:lang w:val="en-US" w:eastAsia="zh-CN"/>
        </w:rPr>
        <w:t>全年工作任务已完成，不存在偏离绩效目标及预算执行率等方面的问题。</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六、有关建议</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w:t>
      </w:r>
      <w:r>
        <w:rPr>
          <w:rFonts w:hint="eastAsia" w:ascii="仿宋_GB2312" w:hAnsi="仿宋" w:eastAsia="仿宋_GB2312" w:cs="宋体"/>
          <w:b w:val="0"/>
          <w:color w:val="auto"/>
          <w:kern w:val="2"/>
          <w:highlight w:val="none"/>
          <w:lang w:eastAsia="zh-CN"/>
        </w:rPr>
        <w:t>质量aq</w:t>
      </w:r>
      <w:r>
        <w:rPr>
          <w:rFonts w:hint="eastAsia" w:ascii="仿宋_GB2312" w:hAnsi="仿宋" w:eastAsia="仿宋_GB2312" w:cs="宋体"/>
          <w:b w:val="0"/>
          <w:color w:val="auto"/>
          <w:kern w:val="2"/>
          <w:highlight w:val="none"/>
        </w:rPr>
        <w:t>和建设进度；同时及时完善资料。</w:t>
      </w:r>
    </w:p>
    <w:p>
      <w:pPr>
        <w:pStyle w:val="30"/>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eastAsia="黑体"/>
          <w:b w:val="0"/>
          <w:bCs w:val="0"/>
          <w:color w:val="auto"/>
          <w:highlight w:val="none"/>
        </w:rPr>
      </w:pPr>
      <w:r>
        <w:rPr>
          <w:rFonts w:hint="eastAsia" w:ascii="黑体" w:hAnsi="黑体" w:eastAsia="黑体"/>
          <w:b w:val="0"/>
          <w:bCs w:val="0"/>
          <w:color w:val="auto"/>
          <w:highlight w:val="none"/>
          <w:lang w:val="en-US" w:eastAsia="zh-CN"/>
        </w:rPr>
        <w:t>七</w:t>
      </w:r>
      <w:r>
        <w:rPr>
          <w:rFonts w:hint="eastAsia" w:ascii="黑体" w:hAnsi="黑体" w:eastAsia="黑体"/>
          <w:b w:val="0"/>
          <w:bCs w:val="0"/>
          <w:color w:val="auto"/>
          <w:highlight w:val="none"/>
        </w:rPr>
        <w:t>、其他需要说明的问题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eastAsia="仿宋_GB2312"/>
          <w:color w:val="auto"/>
          <w:highlight w:val="none"/>
          <w:lang w:val="en-US" w:eastAsia="zh-CN"/>
        </w:rPr>
      </w:pPr>
      <w:r>
        <w:rPr>
          <w:rFonts w:hint="eastAsia"/>
          <w:color w:val="auto"/>
          <w:highlight w:val="none"/>
          <w:lang w:val="en-US" w:eastAsia="zh-CN"/>
        </w:rPr>
        <w:t>无。</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rPr>
          <w:rFonts w:hint="eastAsia"/>
          <w:color w:val="auto"/>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2"/>
        <w:tblW w:w="9859" w:type="dxa"/>
        <w:jc w:val="center"/>
        <w:tblInd w:w="0" w:type="dxa"/>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92" w:hRule="atLeast"/>
          <w:tblHeader/>
          <w:jc w:val="center"/>
        </w:trPr>
        <w:tc>
          <w:tcPr>
            <w:tcW w:w="757"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9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13"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93"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01"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5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8" w:hRule="atLeast"/>
          <w:jc w:val="center"/>
        </w:trPr>
        <w:tc>
          <w:tcPr>
            <w:tcW w:w="757" w:type="dxa"/>
            <w:vMerge w:val="restart"/>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682"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7"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386"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777"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36"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44"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09" w:hRule="atLeast"/>
          <w:jc w:val="center"/>
        </w:trPr>
        <w:tc>
          <w:tcPr>
            <w:tcW w:w="757" w:type="dxa"/>
            <w:vMerge w:val="continue"/>
            <w:shd w:val="clear" w:color="auto" w:fill="FFFFFF"/>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416"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5" w:hRule="atLeast"/>
          <w:jc w:val="center"/>
        </w:trPr>
        <w:tc>
          <w:tcPr>
            <w:tcW w:w="757"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20" w:hRule="atLeast"/>
          <w:jc w:val="center"/>
        </w:trPr>
        <w:tc>
          <w:tcPr>
            <w:tcW w:w="757"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100</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55101DE2"/>
    <w:rsid w:val="5FC14E3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unhideWhenUsed/>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unhideWhenUsed/>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0">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qFormat/>
    <w:uiPriority w:val="0"/>
    <w:rPr>
      <w:sz w:val="18"/>
      <w:szCs w:val="18"/>
    </w:rPr>
  </w:style>
  <w:style w:type="paragraph" w:styleId="8">
    <w:name w:val="footer"/>
    <w:basedOn w:val="1"/>
    <w:link w:val="21"/>
    <w:qFormat/>
    <w:uiPriority w:val="0"/>
    <w:pPr>
      <w:tabs>
        <w:tab w:val="center" w:pos="4153"/>
        <w:tab w:val="right" w:pos="8306"/>
      </w:tabs>
      <w:snapToGrid w:val="0"/>
      <w:jc w:val="left"/>
    </w:pPr>
    <w:rPr>
      <w:sz w:val="18"/>
      <w:szCs w:val="18"/>
    </w:rPr>
  </w:style>
  <w:style w:type="paragraph" w:styleId="9">
    <w:name w:val="header"/>
    <w:basedOn w:val="1"/>
    <w:link w:val="22"/>
    <w:qFormat/>
    <w:uiPriority w:val="0"/>
    <w:pPr>
      <w:pBdr>
        <w:bottom w:val="single" w:color="auto" w:sz="6" w:space="1"/>
      </w:pBdr>
      <w:tabs>
        <w:tab w:val="center" w:pos="4153"/>
        <w:tab w:val="right" w:pos="8306"/>
      </w:tabs>
      <w:snapToGrid w:val="0"/>
      <w:jc w:val="center"/>
    </w:pPr>
    <w:rPr>
      <w:sz w:val="18"/>
      <w:szCs w:val="18"/>
    </w:rPr>
  </w:style>
  <w:style w:type="character" w:styleId="11">
    <w:name w:val="Strong"/>
    <w:qFormat/>
    <w:uiPriority w:val="0"/>
    <w:rPr>
      <w:b/>
      <w:bCs/>
    </w:rPr>
  </w:style>
  <w:style w:type="table" w:styleId="13">
    <w:name w:val="Table Grid"/>
    <w:basedOn w:val="1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
    <w:name w:val="Comment Text"/>
    <w:basedOn w:val="1"/>
    <w:link w:val="19"/>
    <w:qFormat/>
    <w:uiPriority w:val="0"/>
    <w:pPr>
      <w:jc w:val="left"/>
    </w:pPr>
  </w:style>
  <w:style w:type="paragraph" w:customStyle="1" w:styleId="15">
    <w:name w:val="Comment Subject"/>
    <w:basedOn w:val="14"/>
    <w:next w:val="14"/>
    <w:link w:val="23"/>
    <w:qFormat/>
    <w:uiPriority w:val="0"/>
    <w:rPr>
      <w:b/>
      <w:bCs/>
    </w:rPr>
  </w:style>
  <w:style w:type="character" w:customStyle="1" w:styleId="16">
    <w:name w:val="Comment Reference"/>
    <w:qFormat/>
    <w:uiPriority w:val="0"/>
    <w:rPr>
      <w:sz w:val="21"/>
      <w:szCs w:val="21"/>
    </w:rPr>
  </w:style>
  <w:style w:type="character" w:customStyle="1" w:styleId="17">
    <w:name w:val="标题 1 Char"/>
    <w:basedOn w:val="10"/>
    <w:link w:val="3"/>
    <w:uiPriority w:val="0"/>
    <w:rPr>
      <w:rFonts w:eastAsia="仿宋_GB2312"/>
      <w:b/>
      <w:bCs/>
      <w:kern w:val="44"/>
      <w:sz w:val="44"/>
      <w:szCs w:val="44"/>
    </w:rPr>
  </w:style>
  <w:style w:type="character" w:customStyle="1" w:styleId="18">
    <w:name w:val="标题 2 Char"/>
    <w:basedOn w:val="10"/>
    <w:link w:val="4"/>
    <w:semiHidden/>
    <w:qFormat/>
    <w:uiPriority w:val="0"/>
    <w:rPr>
      <w:rFonts w:ascii="Cambria" w:hAnsi="Cambria" w:eastAsia="宋体" w:cs="Times New Roman"/>
      <w:b/>
      <w:bCs/>
      <w:kern w:val="2"/>
      <w:sz w:val="32"/>
      <w:szCs w:val="32"/>
    </w:rPr>
  </w:style>
  <w:style w:type="character" w:customStyle="1" w:styleId="19">
    <w:name w:val="批注文字 字符"/>
    <w:link w:val="14"/>
    <w:qFormat/>
    <w:uiPriority w:val="0"/>
    <w:rPr>
      <w:rFonts w:eastAsia="仿宋_GB2312"/>
      <w:kern w:val="2"/>
      <w:sz w:val="30"/>
      <w:szCs w:val="24"/>
    </w:rPr>
  </w:style>
  <w:style w:type="character" w:customStyle="1" w:styleId="20">
    <w:name w:val="批注框文本 字符"/>
    <w:link w:val="7"/>
    <w:qFormat/>
    <w:uiPriority w:val="0"/>
    <w:rPr>
      <w:rFonts w:eastAsia="仿宋_GB2312"/>
      <w:kern w:val="2"/>
      <w:sz w:val="18"/>
      <w:szCs w:val="18"/>
    </w:rPr>
  </w:style>
  <w:style w:type="character" w:customStyle="1" w:styleId="21">
    <w:name w:val="页脚 字符"/>
    <w:link w:val="8"/>
    <w:qFormat/>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闻政-正文三级标题 Char"/>
    <w:link w:val="27"/>
    <w:qFormat/>
    <w:uiPriority w:val="3"/>
    <w:rPr>
      <w:rFonts w:eastAsia="仿宋_GB2312"/>
      <w:b/>
      <w:snapToGrid w:val="0"/>
      <w:sz w:val="28"/>
      <w:szCs w:val="28"/>
    </w:rPr>
  </w:style>
  <w:style w:type="paragraph" w:customStyle="1" w:styleId="27">
    <w:name w:val="闻政-正文三级标题"/>
    <w:basedOn w:val="1"/>
    <w:next w:val="1"/>
    <w:link w:val="26"/>
    <w:qFormat/>
    <w:uiPriority w:val="3"/>
    <w:pPr>
      <w:widowControl/>
      <w:spacing w:before="120" w:after="60" w:line="500" w:lineRule="exact"/>
      <w:ind w:left="200" w:leftChars="200"/>
    </w:pPr>
    <w:rPr>
      <w:b/>
      <w:snapToGrid w:val="0"/>
      <w:kern w:val="0"/>
      <w:sz w:val="28"/>
      <w:szCs w:val="28"/>
    </w:rPr>
  </w:style>
  <w:style w:type="character" w:customStyle="1" w:styleId="28">
    <w:name w:val="Body text|1_"/>
    <w:link w:val="29"/>
    <w:uiPriority w:val="0"/>
    <w:rPr>
      <w:rFonts w:ascii="宋体" w:hAnsi="宋体" w:cs="宋体"/>
      <w:kern w:val="2"/>
      <w:sz w:val="30"/>
      <w:szCs w:val="30"/>
      <w:lang w:val="zh-TW" w:eastAsia="zh-TW" w:bidi="zh-TW"/>
    </w:rPr>
  </w:style>
  <w:style w:type="paragraph" w:customStyle="1" w:styleId="29">
    <w:name w:val="Body text|1"/>
    <w:basedOn w:val="1"/>
    <w:link w:val="28"/>
    <w:qFormat/>
    <w:uiPriority w:val="0"/>
    <w:pPr>
      <w:spacing w:line="420" w:lineRule="auto"/>
      <w:ind w:firstLine="400"/>
    </w:pPr>
    <w:rPr>
      <w:rFonts w:ascii="宋体" w:hAnsi="宋体" w:eastAsia="宋体" w:cs="宋体"/>
      <w:szCs w:val="30"/>
      <w:lang w:val="zh-TW" w:eastAsia="zh-TW" w:bidi="zh-TW"/>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customStyle="1"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D1BBB87B67E349F2BB601F543608065D_13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f8a089d-523e-4780-8f1d-2fcee1ae83b8}">
  <ds:schemaRefs/>
</ds:datastoreItem>
</file>

<file path=docProps/app.xml><?xml version="1.0" encoding="utf-8"?>
<Properties xmlns="http://schemas.openxmlformats.org/officeDocument/2006/extended-properties" xmlns:vt="http://schemas.openxmlformats.org/officeDocument/2006/docPropsVTypes">
  <Template>Normal</Template>
  <Company>P R C</Company>
  <Pages>19</Pages>
  <Words>8202</Words>
  <Characters>8383</Characters>
  <Lines>56</Lines>
  <Paragraphs>15</Paragraphs>
  <TotalTime>4</TotalTime>
  <ScaleCrop>false</ScaleCrop>
  <LinksUpToDate>false</LinksUpToDate>
  <CharactersWithSpaces>8393</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2025-09-17T09:47:03Z</dcterms:modified>
  <cp:revision>62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y fmtid="{D5CDD505-2E9C-101B-9397-08002B2CF9AE}" pid="3" name="ICV">
    <vt:lpwstr>D1BBB87B67E349F2BB601F543608065D_13</vt:lpwstr>
  </property>
  <property fmtid="{D5CDD505-2E9C-101B-9397-08002B2CF9AE}" pid="4" name="KSOTemplateDocerSaveRecord">
    <vt:lpwstr>eyJoZGlkIjoiYzZkNzQ4ZWFiZmQ4NTRhOWRkZTk3YTMwMjlmMmZhYmUiLCJ1c2VySWQiOiI1NzgxMjU4NDIifQ_x003D__x003D_</vt:lpwstr>
  </property>
</Properties>
</file>