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91E8C">
      <w:pPr>
        <w:rPr>
          <w:color w:val="auto"/>
          <w:highlight w:val="none"/>
        </w:rPr>
      </w:pPr>
    </w:p>
    <w:p w14:paraId="56E157ED">
      <w:pPr>
        <w:spacing w:line="560" w:lineRule="exact"/>
        <w:jc w:val="center"/>
        <w:rPr>
          <w:rFonts w:hint="eastAsia" w:ascii="仿宋_GB2312" w:hAnsi="仿宋_GB2312" w:cs="仿宋_GB2312"/>
          <w:b/>
          <w:bCs/>
          <w:color w:val="auto"/>
          <w:kern w:val="0"/>
          <w:sz w:val="44"/>
          <w:szCs w:val="44"/>
          <w:highlight w:val="none"/>
        </w:rPr>
      </w:pPr>
    </w:p>
    <w:p w14:paraId="0AE30545">
      <w:pPr>
        <w:spacing w:line="560" w:lineRule="exact"/>
        <w:jc w:val="center"/>
        <w:rPr>
          <w:rFonts w:hint="eastAsia" w:ascii="仿宋_GB2312" w:hAnsi="仿宋_GB2312" w:cs="仿宋_GB2312"/>
          <w:b/>
          <w:bCs/>
          <w:color w:val="auto"/>
          <w:kern w:val="0"/>
          <w:sz w:val="44"/>
          <w:szCs w:val="44"/>
          <w:highlight w:val="none"/>
        </w:rPr>
      </w:pPr>
    </w:p>
    <w:p w14:paraId="55158459">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2024年中央农业生态资源保护资金项目</w:t>
      </w:r>
    </w:p>
    <w:p w14:paraId="2B670BBB">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14:paraId="33CA9107">
      <w:pPr>
        <w:spacing w:line="560" w:lineRule="exact"/>
        <w:jc w:val="center"/>
        <w:rPr>
          <w:rFonts w:hint="eastAsia" w:ascii="方正小标宋_GBK" w:hAnsi="黑体" w:eastAsia="方正小标宋_GBK" w:cs="仿宋_GB2312"/>
          <w:color w:val="auto"/>
          <w:kern w:val="0"/>
          <w:sz w:val="44"/>
          <w:szCs w:val="44"/>
          <w:highlight w:val="none"/>
        </w:rPr>
      </w:pPr>
    </w:p>
    <w:p w14:paraId="05E2929B">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14:paraId="2BAB7799">
      <w:pPr>
        <w:spacing w:line="560" w:lineRule="exact"/>
        <w:jc w:val="center"/>
        <w:rPr>
          <w:rFonts w:hint="eastAsia" w:ascii="仿宋_GB2312" w:hAnsi="仿宋_GB2312" w:cs="仿宋_GB2312"/>
          <w:b/>
          <w:color w:val="auto"/>
          <w:kern w:val="0"/>
          <w:sz w:val="50"/>
          <w:szCs w:val="50"/>
          <w:highlight w:val="none"/>
          <w:lang w:bidi="en-US"/>
        </w:rPr>
      </w:pPr>
    </w:p>
    <w:p w14:paraId="2F7C1986">
      <w:pPr>
        <w:spacing w:line="560" w:lineRule="exact"/>
        <w:jc w:val="center"/>
        <w:rPr>
          <w:rFonts w:hint="eastAsia" w:ascii="仿宋_GB2312" w:hAnsi="仿宋_GB2312" w:cs="仿宋_GB2312"/>
          <w:b/>
          <w:color w:val="auto"/>
          <w:kern w:val="0"/>
          <w:sz w:val="50"/>
          <w:szCs w:val="50"/>
          <w:highlight w:val="none"/>
          <w:lang w:bidi="en-US"/>
        </w:rPr>
      </w:pPr>
    </w:p>
    <w:p w14:paraId="78C6F11F">
      <w:pPr>
        <w:spacing w:line="560" w:lineRule="exact"/>
        <w:jc w:val="center"/>
        <w:rPr>
          <w:rFonts w:hint="eastAsia" w:ascii="仿宋_GB2312" w:hAnsi="仿宋_GB2312" w:cs="仿宋_GB2312"/>
          <w:b/>
          <w:color w:val="auto"/>
          <w:kern w:val="0"/>
          <w:sz w:val="50"/>
          <w:szCs w:val="50"/>
          <w:highlight w:val="none"/>
          <w:lang w:bidi="en-US"/>
        </w:rPr>
      </w:pPr>
    </w:p>
    <w:p w14:paraId="4CA28F71">
      <w:pPr>
        <w:spacing w:line="560" w:lineRule="exact"/>
        <w:jc w:val="center"/>
        <w:rPr>
          <w:rFonts w:hint="eastAsia" w:ascii="仿宋_GB2312" w:hAnsi="仿宋_GB2312" w:cs="仿宋_GB2312"/>
          <w:b/>
          <w:color w:val="auto"/>
          <w:kern w:val="0"/>
          <w:sz w:val="50"/>
          <w:szCs w:val="50"/>
          <w:highlight w:val="none"/>
          <w:lang w:bidi="en-US"/>
        </w:rPr>
      </w:pPr>
    </w:p>
    <w:p w14:paraId="38743FC3">
      <w:pPr>
        <w:spacing w:line="560" w:lineRule="exact"/>
        <w:jc w:val="center"/>
        <w:rPr>
          <w:rFonts w:hint="eastAsia" w:ascii="仿宋_GB2312" w:hAnsi="仿宋_GB2312" w:cs="仿宋_GB2312"/>
          <w:b/>
          <w:color w:val="auto"/>
          <w:kern w:val="0"/>
          <w:sz w:val="50"/>
          <w:szCs w:val="50"/>
          <w:highlight w:val="none"/>
          <w:lang w:bidi="en-US"/>
        </w:rPr>
      </w:pPr>
    </w:p>
    <w:p w14:paraId="34789E90">
      <w:pPr>
        <w:spacing w:line="560" w:lineRule="exact"/>
        <w:jc w:val="center"/>
        <w:rPr>
          <w:rFonts w:hint="eastAsia" w:ascii="仿宋_GB2312" w:hAnsi="仿宋_GB2312" w:cs="仿宋_GB2312"/>
          <w:b/>
          <w:color w:val="auto"/>
          <w:kern w:val="0"/>
          <w:sz w:val="50"/>
          <w:szCs w:val="50"/>
          <w:highlight w:val="none"/>
          <w:lang w:bidi="en-US"/>
        </w:rPr>
      </w:pPr>
    </w:p>
    <w:p w14:paraId="32B19B4C">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项目名称：2024年中央农业生态资源保护资金项目</w:t>
      </w:r>
    </w:p>
    <w:p w14:paraId="500E3F85">
      <w:pPr>
        <w:spacing w:line="560" w:lineRule="exact"/>
        <w:rPr>
          <w:rFonts w:hint="eastAsia" w:ascii="黑体" w:hAnsi="黑体" w:eastAsia="黑体" w:cs="仿宋_GB2312"/>
          <w:color w:val="auto"/>
          <w:kern w:val="0"/>
          <w:sz w:val="32"/>
          <w:szCs w:val="32"/>
          <w:highlight w:val="none"/>
        </w:rPr>
      </w:pPr>
    </w:p>
    <w:p w14:paraId="4994AE71">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 阿图什市畜牧兽医局</w:t>
      </w:r>
    </w:p>
    <w:p w14:paraId="34EC82F3">
      <w:pPr>
        <w:spacing w:line="560" w:lineRule="exact"/>
        <w:rPr>
          <w:rFonts w:hint="eastAsia" w:ascii="黑体" w:hAnsi="黑体" w:eastAsia="黑体" w:cs="仿宋_GB2312"/>
          <w:color w:val="auto"/>
          <w:kern w:val="0"/>
          <w:sz w:val="32"/>
          <w:szCs w:val="32"/>
          <w:highlight w:val="none"/>
        </w:rPr>
      </w:pPr>
    </w:p>
    <w:p w14:paraId="3FDED1F8">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 阿图什市畜牧兽医局</w:t>
      </w:r>
    </w:p>
    <w:p w14:paraId="38F0D026">
      <w:pPr>
        <w:spacing w:line="560" w:lineRule="exact"/>
        <w:rPr>
          <w:rFonts w:hint="eastAsia" w:ascii="黑体" w:hAnsi="黑体" w:eastAsia="黑体" w:cs="仿宋_GB2312"/>
          <w:color w:val="auto"/>
          <w:kern w:val="0"/>
          <w:sz w:val="32"/>
          <w:szCs w:val="32"/>
          <w:highlight w:val="none"/>
        </w:rPr>
      </w:pPr>
    </w:p>
    <w:p w14:paraId="4F74795E">
      <w:pPr>
        <w:spacing w:line="560" w:lineRule="exact"/>
        <w:rPr>
          <w:rFonts w:hint="eastAsia" w:ascii="黑体" w:hAnsi="黑体" w:eastAsia="黑体" w:cs="仿宋_GB2312"/>
          <w:color w:val="auto"/>
          <w:kern w:val="0"/>
          <w:sz w:val="32"/>
          <w:szCs w:val="32"/>
          <w:highlight w:val="none"/>
        </w:rPr>
      </w:pPr>
    </w:p>
    <w:p w14:paraId="49AD5276">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27</w:t>
      </w:r>
      <w:r>
        <w:rPr>
          <w:rFonts w:hint="eastAsia" w:ascii="黑体" w:hAnsi="黑体" w:eastAsia="黑体" w:cs="仿宋_GB2312"/>
          <w:color w:val="auto"/>
          <w:sz w:val="32"/>
          <w:szCs w:val="32"/>
          <w:highlight w:val="none"/>
        </w:rPr>
        <w:t>日</w:t>
      </w:r>
    </w:p>
    <w:p w14:paraId="0712E84A">
      <w:pPr>
        <w:spacing w:line="560" w:lineRule="exact"/>
        <w:rPr>
          <w:rFonts w:hint="eastAsia" w:ascii="仿宋_GB2312" w:hAnsi="仿宋_GB2312" w:cs="仿宋_GB2312"/>
          <w:color w:val="auto"/>
          <w:szCs w:val="30"/>
          <w:highlight w:val="none"/>
        </w:rPr>
      </w:pPr>
    </w:p>
    <w:p w14:paraId="101B30E1">
      <w:pPr>
        <w:spacing w:line="560" w:lineRule="exact"/>
        <w:rPr>
          <w:rFonts w:hint="eastAsia" w:ascii="仿宋_GB2312" w:hAnsi="仿宋_GB2312" w:cs="仿宋_GB2312"/>
          <w:color w:val="auto"/>
          <w:szCs w:val="30"/>
          <w:highlight w:val="none"/>
        </w:rPr>
      </w:pPr>
    </w:p>
    <w:p w14:paraId="009A1BFB">
      <w:pPr>
        <w:spacing w:line="560" w:lineRule="exact"/>
        <w:rPr>
          <w:rFonts w:hint="eastAsia" w:ascii="仿宋_GB2312" w:hAnsi="仿宋_GB2312" w:cs="仿宋_GB2312"/>
          <w:color w:val="auto"/>
          <w:szCs w:val="30"/>
          <w:highlight w:val="none"/>
        </w:rPr>
      </w:pPr>
    </w:p>
    <w:p w14:paraId="4D57607C">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rPr>
        <w:t>2024年中央农业生态资源保护资金项目</w:t>
      </w:r>
    </w:p>
    <w:p w14:paraId="28A9EAC7">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14:paraId="4EFF5B63">
      <w:pPr>
        <w:snapToGrid w:val="0"/>
        <w:spacing w:line="560" w:lineRule="exact"/>
        <w:jc w:val="center"/>
        <w:rPr>
          <w:rFonts w:hint="eastAsia" w:ascii="仿宋_GB2312" w:hAnsi="仿宋_GB2312" w:cs="仿宋_GB2312"/>
          <w:color w:val="auto"/>
          <w:szCs w:val="30"/>
          <w:highlight w:val="none"/>
        </w:rPr>
      </w:pPr>
    </w:p>
    <w:p w14:paraId="009EAE11">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14:paraId="6A9A9BD5">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14:paraId="6051C905">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14:paraId="6D759BF0">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阿图什市部分草原由于长期过度放牧、干旱等因素，出现植被覆盖度降低、产草量减少、土地沙化等退化现象，草原生态系统功能减弱。阿图什市位于南疆，其部分草原处于天山南坡中山带以上，是重要的水源区，具有极其重要的生态意义，需要加强保护以维护区域生态平衡。</w:t>
      </w:r>
      <w:r>
        <w:rPr>
          <w:rFonts w:hint="eastAsia" w:ascii="仿宋_GB2312" w:hAnsi="仿宋" w:cs="宋体"/>
          <w:color w:val="auto"/>
          <w:sz w:val="32"/>
          <w:szCs w:val="32"/>
          <w:highlight w:val="none"/>
          <w:lang w:val="en-US" w:eastAsia="zh-CN"/>
        </w:rPr>
        <w:t>根据</w:t>
      </w:r>
      <w:r>
        <w:rPr>
          <w:rFonts w:hint="eastAsia" w:ascii="仿宋_GB2312" w:hAnsi="仿宋" w:cs="宋体"/>
          <w:color w:val="auto"/>
          <w:sz w:val="32"/>
          <w:szCs w:val="32"/>
          <w:highlight w:val="none"/>
        </w:rPr>
        <w:t>新疆维吾尔自治区有关相关草原保护政策，阿图什市</w:t>
      </w:r>
      <w:r>
        <w:rPr>
          <w:rFonts w:hint="eastAsia" w:ascii="仿宋_GB2312" w:hAnsi="仿宋" w:cs="宋体"/>
          <w:color w:val="auto"/>
          <w:sz w:val="32"/>
          <w:szCs w:val="32"/>
          <w:highlight w:val="none"/>
          <w:lang w:val="en-US" w:eastAsia="zh-CN"/>
        </w:rPr>
        <w:t>持续</w:t>
      </w:r>
      <w:r>
        <w:rPr>
          <w:rFonts w:hint="eastAsia" w:ascii="仿宋_GB2312" w:hAnsi="仿宋" w:cs="宋体"/>
          <w:color w:val="auto"/>
          <w:sz w:val="32"/>
          <w:szCs w:val="32"/>
          <w:highlight w:val="none"/>
        </w:rPr>
        <w:t>落实《新疆维吾尔自治区草原禁牧和草畜平衡监督管理办法》等文件精神，推进草原保护工作。</w:t>
      </w:r>
    </w:p>
    <w:p w14:paraId="646112FB">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阿图什市秉持“环保优先，生态立州”的理念，以草原保护与生态恢复为目标，将草原生态保护作为重要工作，积极落实相关政策，推进草原保护“三项”基本制度。传统的过度放牧方式使草原承载能力下降，制约了阿图什市畜牧业的可持续发展。实施禁牧和草畜平衡项目，有利于合理利用草原资源，促进畜牧业向集约型转变。良好的草原生态环境有助于提高牧草质量，进而提升畜产品品质，通过禁牧和草畜平衡管理，可使牲畜采食到更优质的牧草，生产出更符合市场需求的畜产品。</w:t>
      </w:r>
    </w:p>
    <w:p w14:paraId="31AB6179">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14:paraId="6739DE64">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14:paraId="646ADFE7">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14:paraId="7F81B8B5">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农业生态资源保护资金预算的通知》（克财农〔2023〕25号）要求，下达资金3682.5万元，主要用于全市落实草原补奖政策总面积1053万亩，其中：禁牧草场300万亩，实施草畜平衡管理753万亩。通过项目的实施</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推行草原禁牧和草畜平衡制度，引导农牧民合理配置载畜量，科学利用天然草原，促进草原生态环境持续改善</w:t>
      </w:r>
      <w:r>
        <w:rPr>
          <w:rFonts w:hint="eastAsia" w:ascii="仿宋_GB2312" w:hAnsi="仿宋_GB2312" w:cs="仿宋_GB2312"/>
          <w:color w:val="auto"/>
          <w:sz w:val="32"/>
          <w:szCs w:val="30"/>
          <w:highlight w:val="none"/>
          <w:lang w:eastAsia="zh-CN"/>
        </w:rPr>
        <w:t>。</w:t>
      </w:r>
    </w:p>
    <w:p w14:paraId="46EE9C92">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14:paraId="4C5A974F">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实施主体：本项目的主管部门为阿图什市畜牧兽医局,实施单位为阿图什市畜牧兽医局，主要职责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执行</w:t>
      </w:r>
      <w:r>
        <w:rPr>
          <w:rFonts w:hint="eastAsia" w:ascii="仿宋_GB2312" w:hAnsi="仿宋_GB2312" w:cs="仿宋_GB2312"/>
          <w:bCs/>
          <w:color w:val="auto"/>
          <w:sz w:val="32"/>
          <w:szCs w:val="30"/>
          <w:highlight w:val="none"/>
          <w:lang w:eastAsia="zh-CN"/>
        </w:rPr>
        <w:t>自治区、自治州市委、市政府关于畜牧业高质量发展重点工作安排，紧紧围绕州委提出的“四个百万”工程和市委畜牧业高质量发展实施方案的各项重点工作目标任务，高度重视、详细安排，抓好落实动物疫病防控、品种改良、人畜共患病防治及预防、疫情监测、业务队伍技术服务，乡村振兴各项工作与畜牧业高质量发展有机结合和群众技术培训，紧扣“高质量发展”主题，大力实施“四个百万”工程，高标准完成上级交给的各项工作任务，落实重大动物疫病防控提高畜产品质量工作要求。</w:t>
      </w:r>
    </w:p>
    <w:p w14:paraId="1DA26755">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11</w:t>
      </w:r>
      <w:r>
        <w:rPr>
          <w:rFonts w:hint="eastAsia" w:ascii="仿宋_GB2312" w:hAnsi="仿宋_GB2312" w:cs="仿宋_GB2312"/>
          <w:bCs/>
          <w:color w:val="auto"/>
          <w:sz w:val="32"/>
          <w:szCs w:val="30"/>
          <w:highlight w:val="none"/>
        </w:rPr>
        <w:t>月</w:t>
      </w:r>
    </w:p>
    <w:p w14:paraId="634D45CC">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14:paraId="5F737C9D">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eastAsia="仿宋_GB2312" w:cs="仿宋_GB2312"/>
          <w:bCs/>
          <w:color w:val="auto"/>
          <w:sz w:val="32"/>
          <w:szCs w:val="30"/>
          <w:highlight w:val="none"/>
          <w:lang w:eastAsia="zh-CN"/>
        </w:rPr>
      </w:pPr>
      <w:r>
        <w:rPr>
          <w:rFonts w:hint="eastAsia" w:ascii="仿宋_GB2312" w:hAnsi="仿宋_GB2312" w:cs="仿宋_GB2312"/>
          <w:bCs/>
          <w:color w:val="auto"/>
          <w:sz w:val="32"/>
          <w:szCs w:val="30"/>
          <w:highlight w:val="none"/>
        </w:rPr>
        <w:t>本项目的实施符合《新疆维吾尔自治区草原禁牧和草畜平衡监督管理办法》文件相关政策要求，</w:t>
      </w:r>
      <w:r>
        <w:rPr>
          <w:rFonts w:hint="eastAsia" w:ascii="仿宋_GB2312" w:hAnsi="仿宋_GB2312" w:cs="仿宋_GB2312"/>
          <w:bCs/>
          <w:color w:val="auto"/>
          <w:sz w:val="32"/>
          <w:szCs w:val="30"/>
          <w:highlight w:val="none"/>
          <w:lang w:val="en-US" w:eastAsia="zh-CN"/>
        </w:rPr>
        <w:t>根据</w:t>
      </w:r>
      <w:r>
        <w:rPr>
          <w:rFonts w:hint="eastAsia" w:ascii="仿宋_GB2312" w:hAnsi="仿宋_GB2312" w:cs="仿宋_GB2312"/>
          <w:color w:val="auto"/>
          <w:sz w:val="32"/>
          <w:szCs w:val="30"/>
          <w:highlight w:val="none"/>
        </w:rPr>
        <w:t>《关于提前下达2024年中央农业生态资源保护资金预算的通知》（克财农〔2023〕25号）</w:t>
      </w:r>
      <w:r>
        <w:rPr>
          <w:rFonts w:hint="eastAsia" w:ascii="仿宋_GB2312" w:hAnsi="仿宋_GB2312" w:cs="仿宋_GB2312"/>
          <w:color w:val="auto"/>
          <w:sz w:val="32"/>
          <w:szCs w:val="30"/>
          <w:highlight w:val="none"/>
          <w:lang w:val="en-US" w:eastAsia="zh-CN"/>
        </w:rPr>
        <w:t>文件资金的支持，</w:t>
      </w:r>
      <w:r>
        <w:rPr>
          <w:rFonts w:hint="eastAsia" w:ascii="仿宋_GB2312" w:hAnsi="仿宋_GB2312" w:cs="仿宋_GB2312"/>
          <w:bCs/>
          <w:color w:val="auto"/>
          <w:sz w:val="32"/>
          <w:szCs w:val="30"/>
          <w:highlight w:val="none"/>
        </w:rPr>
        <w:t>实际已全市落实草原补奖政策总面积1053万亩，其中：禁牧草场300万亩，实施草畜平衡管理753万亩。通过项目的实施</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推行草原禁牧和草畜平衡制度，引导农牧民合理配置载畜量，科学利用天然草原，促进草原生态环境持续改善</w:t>
      </w:r>
      <w:r>
        <w:rPr>
          <w:rFonts w:hint="eastAsia" w:ascii="仿宋_GB2312" w:hAnsi="仿宋_GB2312" w:cs="仿宋_GB2312"/>
          <w:bCs/>
          <w:color w:val="auto"/>
          <w:sz w:val="32"/>
          <w:szCs w:val="30"/>
          <w:highlight w:val="none"/>
          <w:lang w:val="en-US" w:eastAsia="zh-CN"/>
        </w:rPr>
        <w:t>和</w:t>
      </w:r>
      <w:r>
        <w:rPr>
          <w:rFonts w:hint="eastAsia" w:ascii="仿宋_GB2312" w:hAnsi="仿宋_GB2312" w:cs="仿宋_GB2312"/>
          <w:bCs/>
          <w:color w:val="auto"/>
          <w:sz w:val="32"/>
          <w:szCs w:val="30"/>
          <w:highlight w:val="none"/>
        </w:rPr>
        <w:t>畜牧业向集约型转变</w:t>
      </w:r>
      <w:r>
        <w:rPr>
          <w:rFonts w:hint="eastAsia" w:ascii="仿宋_GB2312" w:hAnsi="仿宋_GB2312" w:cs="仿宋_GB2312"/>
          <w:bCs/>
          <w:color w:val="auto"/>
          <w:sz w:val="32"/>
          <w:szCs w:val="30"/>
          <w:highlight w:val="none"/>
          <w:lang w:eastAsia="zh-CN"/>
        </w:rPr>
        <w:t>。</w:t>
      </w:r>
    </w:p>
    <w:p w14:paraId="70C8D1DD">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14:paraId="7B744097">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资金投入情况：本项目总投资3682.50万元，资金来源为中央专项资金。</w:t>
      </w:r>
      <w:bookmarkStart w:id="0" w:name="_GoBack"/>
      <w:bookmarkEnd w:id="0"/>
    </w:p>
    <w:p w14:paraId="0BC8CE3F">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Fonts w:hint="eastAsia" w:ascii="仿宋_GB2312" w:hAnsi="仿宋_GB2312" w:eastAsia="仿宋_GB2312" w:cs="仿宋_GB2312"/>
          <w:color w:val="auto"/>
          <w:szCs w:val="30"/>
          <w:highlight w:val="none"/>
          <w:lang w:eastAsia="zh-CN"/>
        </w:rPr>
      </w:pPr>
      <w:r>
        <w:rPr>
          <w:rStyle w:val="13"/>
          <w:rFonts w:hint="eastAsia" w:ascii="仿宋_GB2312" w:hAnsi="仿宋_GB2312" w:cs="仿宋_GB2312"/>
          <w:b w:val="0"/>
          <w:color w:val="auto"/>
          <w:spacing w:val="-4"/>
          <w:sz w:val="32"/>
          <w:szCs w:val="30"/>
          <w:highlight w:val="none"/>
        </w:rPr>
        <w:t>资金使用情况：根据项目实施情况，项目资金实际支付3680.45万元，资金执行率达到</w:t>
      </w:r>
      <w:r>
        <w:rPr>
          <w:rStyle w:val="13"/>
          <w:rFonts w:hint="eastAsia" w:ascii="仿宋_GB2312" w:hAnsi="仿宋_GB2312" w:cs="仿宋_GB2312"/>
          <w:b w:val="0"/>
          <w:color w:val="auto"/>
          <w:spacing w:val="-4"/>
          <w:sz w:val="32"/>
          <w:szCs w:val="30"/>
          <w:highlight w:val="none"/>
          <w:lang w:val="en-US" w:eastAsia="zh-CN"/>
        </w:rPr>
        <w:t>99.9</w:t>
      </w:r>
      <w:r>
        <w:rPr>
          <w:rStyle w:val="13"/>
          <w:rFonts w:hint="eastAsia" w:ascii="仿宋_GB2312" w:hAnsi="仿宋_GB2312" w:cs="仿宋_GB2312"/>
          <w:b w:val="0"/>
          <w:color w:val="auto"/>
          <w:spacing w:val="-4"/>
          <w:sz w:val="32"/>
          <w:szCs w:val="30"/>
          <w:highlight w:val="none"/>
        </w:rPr>
        <w:t>%。具体使用情况如下：</w:t>
      </w:r>
    </w:p>
    <w:p w14:paraId="1DA6F374">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default" w:ascii="仿宋_GB2312" w:eastAsia="仿宋_GB2312"/>
          <w:b w:val="0"/>
          <w:color w:val="auto"/>
          <w:spacing w:val="-4"/>
          <w:sz w:val="32"/>
          <w:highlight w:val="none"/>
          <w:lang w:val="en-US" w:eastAsia="zh-CN"/>
        </w:rPr>
      </w:pPr>
      <w:r>
        <w:rPr>
          <w:rStyle w:val="13"/>
          <w:rFonts w:hint="eastAsia" w:ascii="仿宋_GB2312"/>
          <w:b w:val="0"/>
          <w:color w:val="auto"/>
          <w:spacing w:val="-4"/>
          <w:sz w:val="32"/>
          <w:highlight w:val="none"/>
        </w:rPr>
        <w:t>禁牧草场补助标准</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6元/亩</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lang w:val="en-US" w:eastAsia="zh-CN"/>
        </w:rPr>
        <w:t>共计1800万元</w:t>
      </w:r>
    </w:p>
    <w:p w14:paraId="0456B619">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eastAsia="仿宋_GB2312"/>
          <w:b w:val="0"/>
          <w:color w:val="auto"/>
          <w:spacing w:val="-4"/>
          <w:sz w:val="32"/>
          <w:highlight w:val="none"/>
          <w:lang w:val="en-US" w:eastAsia="zh-CN"/>
        </w:rPr>
      </w:pPr>
      <w:r>
        <w:rPr>
          <w:rStyle w:val="13"/>
          <w:rFonts w:hint="eastAsia" w:ascii="仿宋_GB2312"/>
          <w:b w:val="0"/>
          <w:color w:val="auto"/>
          <w:spacing w:val="-4"/>
          <w:sz w:val="32"/>
          <w:highlight w:val="none"/>
        </w:rPr>
        <w:t>草畜平衡奖励资金补助标准</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rPr>
        <w:t>2.5元/亩</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lang w:val="en-US" w:eastAsia="zh-CN"/>
        </w:rPr>
        <w:t>共计</w:t>
      </w:r>
      <w:r>
        <w:rPr>
          <w:rStyle w:val="13"/>
          <w:rFonts w:hint="eastAsia" w:ascii="仿宋_GB2312"/>
          <w:b w:val="0"/>
          <w:color w:val="auto"/>
          <w:spacing w:val="-4"/>
          <w:sz w:val="32"/>
          <w:highlight w:val="none"/>
        </w:rPr>
        <w:t>1880.45</w:t>
      </w:r>
      <w:r>
        <w:rPr>
          <w:rStyle w:val="13"/>
          <w:rFonts w:hint="eastAsia" w:ascii="仿宋_GB2312"/>
          <w:b w:val="0"/>
          <w:color w:val="auto"/>
          <w:spacing w:val="-4"/>
          <w:sz w:val="32"/>
          <w:highlight w:val="none"/>
          <w:lang w:val="en-US" w:eastAsia="zh-CN"/>
        </w:rPr>
        <w:t>万元</w:t>
      </w:r>
    </w:p>
    <w:p w14:paraId="389DAE11">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仿宋_GB2312" w:hAnsi="仿宋_GB2312" w:cs="仿宋_GB2312"/>
          <w:color w:val="auto"/>
          <w:sz w:val="32"/>
          <w:highlight w:val="none"/>
        </w:rPr>
      </w:pPr>
      <w:r>
        <w:rPr>
          <w:rFonts w:hint="eastAsia" w:ascii="楷体" w:hAnsi="楷体" w:eastAsia="楷体" w:cs="仿宋_GB2312"/>
          <w:b/>
          <w:bCs w:val="0"/>
          <w:color w:val="auto"/>
          <w:sz w:val="32"/>
          <w:szCs w:val="32"/>
          <w:highlight w:val="none"/>
        </w:rPr>
        <w:t>（二）项目绩效目标</w:t>
      </w:r>
    </w:p>
    <w:p w14:paraId="073DEADB">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农业生态资源保护资金预算的通知》（克财农〔2023〕25号）要求，下达资金3682.5万元，主要用于全市落实草原补奖政策总面积1053万亩，其中：禁牧草场300万亩，实施草畜平衡管理753万亩。通过项目的实施，推行草原禁牧和草畜平衡制度，引导农牧民合理配置载畜量，科学利用天然草原，促进草原生态环境持续改善。</w:t>
      </w:r>
    </w:p>
    <w:p w14:paraId="26D1C9C4">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14:paraId="58F62F47">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14:paraId="4EFF55DD">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14:paraId="1C492049">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14:paraId="4BE63AA4">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14:paraId="3B248FBF">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461B9AAD">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2856ECFA">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733B46AB">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14:paraId="6DD37E86">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14:paraId="0CE4BF56">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14:paraId="6C933CEC">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14:paraId="26F7D89F">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14:paraId="19680C7E">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14:paraId="56290CD7">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14:paraId="43F5A857">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6019F5EB">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14:paraId="4C5CED0F">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14:paraId="47F7F9E3">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14:paraId="61C34376">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14:paraId="3F0B26B4">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农业生态资源保护资金项目的深入调研基础上，按照《项目支出绩效评价管理办法》（财预〔2021〕10号）对于指标体系的要求和规范，建立一套适合评价2024年中央农业生态资源保护资金项目的指标体系，从项目决策、项目过程、项目产出和项目绩效四个维度全面考察2024年中央农业生态资源保护资金项目资金的效益，并重点对于项目的产出和绩效进行总体分析，以达到通过指标体系的科学评价反思管理及决策问题的目标。（见附件1）</w:t>
      </w:r>
    </w:p>
    <w:p w14:paraId="0FB4B912">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14:paraId="4B3035ED">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C8FF78A">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14:paraId="0C35A588">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3D7D1F0">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14:paraId="5140BF57">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14:paraId="2169FA10">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14:paraId="3D80DEDB">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14:paraId="5CF37DDC">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14:paraId="14AEF36D">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14:paraId="6C250FD0">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14:paraId="3163C117">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14:paraId="4A500897">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14:paraId="72F90C13">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14:paraId="3B8A93CF">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778CD8AF">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14:paraId="5BF668FB">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A78B4BD">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14:paraId="76CE8B93">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14:paraId="2A6FA170">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14:paraId="271D95E0">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2024年中央农业生态资源保护资金项目属于延续项目，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行业标准、历史标准</w:t>
      </w:r>
      <w:r>
        <w:rPr>
          <w:rFonts w:hint="eastAsia" w:ascii="仿宋_GB2312" w:hAnsi="仿宋_GB2312" w:eastAsia="仿宋_GB2312" w:cs="仿宋_GB2312"/>
          <w:color w:val="auto"/>
          <w:sz w:val="32"/>
          <w:szCs w:val="24"/>
          <w:highlight w:val="none"/>
          <w:lang w:val="en-US" w:eastAsia="zh-CN" w:bidi="ar-SA"/>
        </w:rPr>
        <w:t>评价该项目。</w:t>
      </w:r>
    </w:p>
    <w:p w14:paraId="674D1605">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14:paraId="7245E959">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14:paraId="290AA05E">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8"/>
        <w:gridCol w:w="1827"/>
        <w:gridCol w:w="3901"/>
      </w:tblGrid>
      <w:tr w14:paraId="30067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2568" w:type="dxa"/>
            <w:noWrap w:val="0"/>
            <w:vAlign w:val="center"/>
          </w:tcPr>
          <w:p w14:paraId="41258E06">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noWrap w:val="0"/>
            <w:vAlign w:val="center"/>
          </w:tcPr>
          <w:p w14:paraId="61423533">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noWrap w:val="0"/>
            <w:vAlign w:val="center"/>
          </w:tcPr>
          <w:p w14:paraId="6AADDD44">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14:paraId="32FB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14:paraId="3E5FC352">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张旭</w:t>
            </w:r>
          </w:p>
        </w:tc>
        <w:tc>
          <w:tcPr>
            <w:tcW w:w="1827" w:type="dxa"/>
            <w:noWrap w:val="0"/>
            <w:vAlign w:val="center"/>
          </w:tcPr>
          <w:p w14:paraId="15861D6F">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noWrap w:val="0"/>
            <w:vAlign w:val="center"/>
          </w:tcPr>
          <w:p w14:paraId="63485E05">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14:paraId="71890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14:paraId="17EC5DF0">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买买提艾力</w:t>
            </w:r>
          </w:p>
        </w:tc>
        <w:tc>
          <w:tcPr>
            <w:tcW w:w="1827" w:type="dxa"/>
            <w:noWrap w:val="0"/>
            <w:vAlign w:val="center"/>
          </w:tcPr>
          <w:p w14:paraId="66418517">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14:paraId="5BEB2707">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14:paraId="5EC8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568" w:type="dxa"/>
            <w:noWrap w:val="0"/>
            <w:vAlign w:val="center"/>
          </w:tcPr>
          <w:p w14:paraId="77FAFCC1">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海米提</w:t>
            </w:r>
          </w:p>
        </w:tc>
        <w:tc>
          <w:tcPr>
            <w:tcW w:w="1827" w:type="dxa"/>
            <w:noWrap w:val="0"/>
            <w:vAlign w:val="center"/>
          </w:tcPr>
          <w:p w14:paraId="1AA54211">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noWrap w:val="0"/>
            <w:vAlign w:val="center"/>
          </w:tcPr>
          <w:p w14:paraId="387A8C6B">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14:paraId="77E71375">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农业生态资源保护资金项目的内容和特征制定了评价指标体系及评价标准以及评价实施方案，修正并确定所需资料清单，最终确定实施方案。</w:t>
      </w:r>
    </w:p>
    <w:p w14:paraId="2EFC05B5">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14:paraId="3E877449">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w:t>
      </w:r>
      <w:r>
        <w:rPr>
          <w:rFonts w:hint="eastAsia" w:ascii="仿宋_GB2312" w:hAnsi="仿宋_GB2312" w:eastAsia="仿宋_GB2312" w:cs="仿宋_GB2312"/>
          <w:color w:val="auto"/>
          <w:sz w:val="32"/>
          <w:szCs w:val="24"/>
          <w:highlight w:val="none"/>
          <w:lang w:val="en-US" w:eastAsia="zh-CN" w:bidi="ar-SA"/>
        </w:rPr>
        <w:t>了解专项资金的内容</w:t>
      </w:r>
      <w:r>
        <w:rPr>
          <w:rFonts w:hint="eastAsia" w:ascii="仿宋_GB2312" w:hAnsi="仿宋_GB2312" w:eastAsia="仿宋_GB2312" w:cs="仿宋_GB2312"/>
          <w:color w:val="auto"/>
          <w:sz w:val="32"/>
          <w:szCs w:val="24"/>
          <w:highlight w:val="none"/>
          <w:lang w:val="en-US" w:eastAsia="zh-CN" w:bidi="ar-SA"/>
        </w:rPr>
        <w:t>、操作流程、管理机制、资金使用方向等情况；进行项目支出部门评价各项工作信息采集，了解项目设置背景及资金使用等情况。</w:t>
      </w:r>
    </w:p>
    <w:p w14:paraId="4CBE4988">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14:paraId="3F7806BE">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14:paraId="31F403B3">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14:paraId="473CBE52">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14:paraId="23747BD8">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组织管理、产出与效益效果。在此基础上，以相关的项目数据为基础，综合运用不同的评价方法，结合评价标准和评分规则，2024年中央农业生态资源保护资金项目综合得分为99.98分，</w:t>
      </w:r>
      <w:r>
        <w:rPr>
          <w:rFonts w:hint="eastAsia" w:ascii="仿宋_GB2312" w:hAnsi="Cambria" w:eastAsia="仿宋_GB2312"/>
          <w:color w:val="auto"/>
          <w:sz w:val="32"/>
          <w:szCs w:val="32"/>
          <w:highlight w:val="none"/>
        </w:rPr>
        <w:t>评价结果为优。</w:t>
      </w:r>
    </w:p>
    <w:p w14:paraId="3B370675">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2024年中央农业生态资源保护资金项目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14:paraId="2F955FDD">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14:paraId="4492DAC9">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14:paraId="1D5C5916">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14:paraId="34422E72">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14:paraId="55B9B62A">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14:paraId="07A357CF">
        <w:tblPrEx>
          <w:tblCellMar>
            <w:top w:w="0" w:type="dxa"/>
            <w:left w:w="10" w:type="dxa"/>
            <w:bottom w:w="0" w:type="dxa"/>
            <w:right w:w="10" w:type="dxa"/>
          </w:tblCellMar>
        </w:tblPrEx>
        <w:trPr>
          <w:trHeight w:val="804" w:hRule="exact"/>
          <w:jc w:val="center"/>
        </w:trPr>
        <w:tc>
          <w:tcPr>
            <w:tcW w:w="1447" w:type="dxa"/>
            <w:tcBorders>
              <w:top w:val="single" w:color="auto" w:sz="4" w:space="0"/>
              <w:left w:val="single" w:color="auto" w:sz="4" w:space="0"/>
            </w:tcBorders>
            <w:shd w:val="clear" w:color="auto" w:fill="FFFFFF"/>
            <w:noWrap w:val="0"/>
            <w:vAlign w:val="center"/>
          </w:tcPr>
          <w:p w14:paraId="1E3D5EF4">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14:paraId="2417E440">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14:paraId="17A6DE25">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14:paraId="49C20ED3">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14:paraId="0ACC9B82">
        <w:tblPrEx>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noWrap w:val="0"/>
            <w:vAlign w:val="center"/>
          </w:tcPr>
          <w:p w14:paraId="3212E4CE">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14:paraId="5AD63AB3">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14:paraId="66D1E93D">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16.99</w:t>
            </w:r>
          </w:p>
        </w:tc>
        <w:tc>
          <w:tcPr>
            <w:tcW w:w="3866" w:type="dxa"/>
            <w:tcBorders>
              <w:top w:val="single" w:color="auto" w:sz="4" w:space="0"/>
              <w:left w:val="single" w:color="auto" w:sz="4" w:space="0"/>
              <w:right w:val="single" w:color="auto" w:sz="4" w:space="0"/>
            </w:tcBorders>
            <w:shd w:val="clear" w:color="auto" w:fill="FFFFFF"/>
            <w:noWrap w:val="0"/>
            <w:vAlign w:val="bottom"/>
          </w:tcPr>
          <w:p w14:paraId="0AFBDA28">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项目预算执行率99.9%</w:t>
            </w:r>
          </w:p>
        </w:tc>
      </w:tr>
      <w:tr w14:paraId="7E2FB393">
        <w:tblPrEx>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noWrap w:val="0"/>
            <w:vAlign w:val="center"/>
          </w:tcPr>
          <w:p w14:paraId="00B42A69">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14:paraId="7749EB15">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14:paraId="05DB90A2">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29.99</w:t>
            </w:r>
          </w:p>
        </w:tc>
        <w:tc>
          <w:tcPr>
            <w:tcW w:w="3866" w:type="dxa"/>
            <w:tcBorders>
              <w:top w:val="single" w:color="auto" w:sz="4" w:space="0"/>
              <w:left w:val="single" w:color="auto" w:sz="4" w:space="0"/>
              <w:right w:val="single" w:color="auto" w:sz="4" w:space="0"/>
            </w:tcBorders>
            <w:shd w:val="clear" w:color="auto" w:fill="FFFFFF"/>
            <w:noWrap w:val="0"/>
            <w:vAlign w:val="center"/>
          </w:tcPr>
          <w:p w14:paraId="3AA6B49F">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1条指标存在偏差</w:t>
            </w:r>
          </w:p>
        </w:tc>
      </w:tr>
      <w:tr w14:paraId="41BFFD7E">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14:paraId="00207A7D">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14:paraId="54AD92FF">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14:paraId="3907631F">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75DF85D5">
            <w:pPr>
              <w:spacing w:line="560" w:lineRule="exact"/>
              <w:rPr>
                <w:rFonts w:hint="eastAsia" w:ascii="仿宋_GB2312" w:hAnsi="仿宋_GB2312" w:cs="仿宋_GB2312"/>
                <w:color w:val="auto"/>
                <w:sz w:val="32"/>
                <w:szCs w:val="32"/>
                <w:highlight w:val="none"/>
              </w:rPr>
            </w:pPr>
          </w:p>
        </w:tc>
      </w:tr>
      <w:tr w14:paraId="153F42B2">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14:paraId="0197C926">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14:paraId="2D73253B">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14:paraId="24D1773C">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99.98</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53DFB22B">
            <w:pPr>
              <w:spacing w:line="560" w:lineRule="exact"/>
              <w:rPr>
                <w:rFonts w:hint="eastAsia" w:ascii="仿宋_GB2312" w:hAnsi="仿宋_GB2312" w:cs="仿宋_GB2312"/>
                <w:color w:val="auto"/>
                <w:sz w:val="32"/>
                <w:szCs w:val="32"/>
                <w:highlight w:val="none"/>
              </w:rPr>
            </w:pPr>
          </w:p>
        </w:tc>
      </w:tr>
    </w:tbl>
    <w:p w14:paraId="340C54DB">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14:paraId="6E86883C">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14:paraId="77313BF9">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w:t>
      </w:r>
      <w:r>
        <w:rPr>
          <w:rFonts w:hint="eastAsia" w:ascii="仿宋_GB2312" w:hAnsi="仿宋_GB2312" w:cs="仿宋_GB2312"/>
          <w:color w:val="auto"/>
          <w:sz w:val="32"/>
          <w:szCs w:val="32"/>
          <w:highlight w:val="none"/>
        </w:rPr>
        <w:t>根据《关于提前下达2024年中央农业生态资源保护资金预算的通知》（克财农〔2023〕25号）文件资金的支持，</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w:t>
      </w:r>
      <w:r>
        <w:rPr>
          <w:rFonts w:hint="eastAsia" w:ascii="仿宋_GB2312" w:hAnsi="仿宋_GB2312" w:cs="仿宋_GB2312"/>
          <w:color w:val="auto"/>
          <w:sz w:val="32"/>
          <w:szCs w:val="32"/>
          <w:highlight w:val="none"/>
          <w:lang w:val="en-US" w:eastAsia="zh-CN"/>
        </w:rPr>
        <w:t>完成</w:t>
      </w:r>
      <w:r>
        <w:rPr>
          <w:rFonts w:hint="eastAsia" w:ascii="仿宋_GB2312" w:hAnsi="仿宋_GB2312" w:cs="仿宋_GB2312"/>
          <w:color w:val="auto"/>
          <w:sz w:val="32"/>
          <w:szCs w:val="32"/>
          <w:highlight w:val="none"/>
        </w:rPr>
        <w:t>全市落实草原补奖政策总面积1053万亩，其中：禁牧草场300万亩，实施草畜平衡管理753万亩。通过项目的实施，有效推行草原禁牧和草畜平衡制度，引导农牧民合理配置载畜量，科学利用天然草原，促进草原生态环境持续改善和畜牧业向集约型转变。</w:t>
      </w:r>
    </w:p>
    <w:p w14:paraId="29B62D86">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2024年中央农业生态资源保护资金项目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rPr>
        <w:t>3680.45万元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val="en-US" w:eastAsia="zh-CN"/>
        </w:rPr>
        <w:t>99.98</w:t>
      </w:r>
      <w:r>
        <w:rPr>
          <w:rFonts w:hint="eastAsia" w:ascii="仿宋_GB2312" w:hAnsi="仿宋_GB2312" w:cs="仿宋_GB2312"/>
          <w:color w:val="auto"/>
          <w:sz w:val="32"/>
          <w:szCs w:val="32"/>
          <w:highlight w:val="none"/>
        </w:rPr>
        <w:t>分。</w:t>
      </w:r>
    </w:p>
    <w:p w14:paraId="07F2B300">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14:paraId="133A9028">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14:paraId="466D9FFF">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14:paraId="5A3E806D">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w:t>
      </w:r>
      <w:r>
        <w:rPr>
          <w:rFonts w:hint="eastAsia" w:ascii="仿宋_GB2312" w:hAnsi="仿宋" w:cs="宋体"/>
          <w:color w:val="auto"/>
          <w:sz w:val="32"/>
          <w:szCs w:val="32"/>
          <w:highlight w:val="none"/>
        </w:rPr>
        <w:t>；项目预期产出效益和效果符合正常的业绩水平；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14:paraId="5B28B4E2">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14:paraId="683EBCA3">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14:paraId="3B88496E">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14:paraId="54AF79F7">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14:paraId="45A55DAD">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14:paraId="3D81EF85">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14:paraId="379D1AD7">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14:paraId="179CA35A">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中央农业生态资源保护资金项目预算依据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中央农业生态资源保护资金项目先进行论证，结合论证情况编制预算，最后由预算部门结合财力情况进行预算安排或追加。</w:t>
      </w:r>
    </w:p>
    <w:p w14:paraId="1AD926A7">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14:paraId="4E441287">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中央农业生态资源保护资金项目组织形式，明确了该项目经费的开支范围为</w:t>
      </w:r>
      <w:r>
        <w:rPr>
          <w:rFonts w:hint="eastAsia" w:ascii="仿宋_GB2312" w:hAnsi="仿宋_GB2312" w:cs="仿宋_GB2312"/>
          <w:color w:val="auto"/>
          <w:sz w:val="32"/>
          <w:szCs w:val="32"/>
          <w:highlight w:val="none"/>
          <w:lang w:val="en-US" w:eastAsia="zh-CN"/>
        </w:rPr>
        <w:t>草原奖补支出</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14:paraId="43B97377">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14:paraId="5BA2EDBD">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14:paraId="775B3B4A">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违纪违规现象的发生，确保专项资金安全使用。</w:t>
      </w:r>
    </w:p>
    <w:p w14:paraId="248C83DC">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2024年中央农业生态资源保护资金项目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14:paraId="2791B8E4">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14:paraId="756F319F">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14:paraId="3F90B436">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14:paraId="52914D8B">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数量指标为禁牧草场面积，预期指标值是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300万亩，实际完成值是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300万亩，指标达到预期目标。</w:t>
      </w:r>
    </w:p>
    <w:p w14:paraId="4A1E4B06">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数量指标为草畜平衡管理面积，预期指标值是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753万亩，实际完成值是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753万亩，指标达到预期目标。</w:t>
      </w:r>
    </w:p>
    <w:p w14:paraId="52DF4EC9">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14:paraId="2440C198">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质量指标为补助经费使用率，预期指标值是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14:paraId="24C10E8F">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质量指标为草原保护、管理合格率，预期指标值是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14:paraId="20ED8731">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14:paraId="38622D17">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时效指标为补奖资金支出时限，预期指标值是2024年11月底前，实际完成值是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2024年11月底前，指标达到预期目标。</w:t>
      </w:r>
    </w:p>
    <w:p w14:paraId="4CBB1D3D">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项目完成及时率，预期指标值是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14:paraId="417989EB">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14:paraId="04C4E27E">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成本指标为禁牧草场补助标准，预期指标值是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6元/亩，实际完成值是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6元/亩，指标达到预期目标。</w:t>
      </w:r>
    </w:p>
    <w:p w14:paraId="134CC9EE">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成本指标为草畜平衡奖励资金补助标准，预期指标值是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2.50元/亩，实际完成值是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2.50元/亩，指标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w:t>
      </w:r>
      <w:r>
        <w:rPr>
          <w:rFonts w:hint="eastAsia" w:ascii="仿宋_GB2312"/>
          <w:color w:val="auto"/>
          <w:sz w:val="32"/>
          <w:szCs w:val="32"/>
          <w:highlight w:val="none"/>
          <w:lang w:val="en-US" w:eastAsia="zh-CN"/>
        </w:rPr>
        <w:t>原因：</w:t>
      </w:r>
      <w:r>
        <w:rPr>
          <w:rFonts w:hint="eastAsia" w:ascii="仿宋_GB2312"/>
          <w:color w:val="auto"/>
          <w:sz w:val="32"/>
          <w:szCs w:val="32"/>
          <w:highlight w:val="none"/>
        </w:rPr>
        <w:t>为避免出现重复享受补助情况，剩余8217.6亩的补助未发放，退回国库；措施：今后做好项目管理及后期统计工作，确保项目如期完成，减少偏差。</w:t>
      </w:r>
    </w:p>
    <w:p w14:paraId="03582A8A">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14:paraId="4804D070">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14:paraId="36C49022">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无。</w:t>
      </w:r>
    </w:p>
    <w:p w14:paraId="6C74A0F1">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14:paraId="366B9A16">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指标为受益乡镇（农场）数量，预期指标值是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9个，实际完成值是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9个，指标达到预期目标。</w:t>
      </w:r>
    </w:p>
    <w:p w14:paraId="6A833E0F">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指标为受益群众人口数，预期指标值是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7236人，实际完成值是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7236人，指标达到预期目标。</w:t>
      </w:r>
    </w:p>
    <w:p w14:paraId="3CD94263">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指标为资金使用重大违规违纪问题（有/无），预期指标值是无，实际完成值是无，指标达到预期目标。</w:t>
      </w:r>
    </w:p>
    <w:p w14:paraId="4CB79985">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14:paraId="0AC0C333">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项目实施产生的生态效益</w:t>
      </w:r>
      <w:r>
        <w:rPr>
          <w:rFonts w:hint="eastAsia" w:ascii="仿宋_GB2312"/>
          <w:color w:val="auto"/>
          <w:sz w:val="32"/>
          <w:szCs w:val="32"/>
          <w:highlight w:val="none"/>
        </w:rPr>
        <w:t>指标为改善全区草原生态环境，预期指标值是有效改善，实际完成值是有效改善，指标达到预期目标。</w:t>
      </w:r>
    </w:p>
    <w:p w14:paraId="206B8D96">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14:paraId="36CA1FDB">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满意度指标为群众对政策实施的满意度，预期指标值是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14:paraId="7029F6AD">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满意度指标为受益群众满意度，预期指标值是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14:paraId="650859AF">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14:paraId="1208C41E">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14:paraId="32836DD0">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14:paraId="689D0E2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14:paraId="23BA9A3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仿宋_GB2312"/>
          <w:color w:val="auto"/>
          <w:sz w:val="36"/>
          <w:szCs w:val="32"/>
          <w:highlight w:val="none"/>
          <w:lang w:eastAsia="zh-CN"/>
        </w:rPr>
      </w:pPr>
      <w:r>
        <w:rPr>
          <w:rFonts w:hint="eastAsia"/>
          <w:color w:val="auto"/>
          <w:sz w:val="32"/>
          <w:highlight w:val="none"/>
        </w:rPr>
        <w:t>本项目全年预算数3682.5万元，执行数3680.45万元，执行率</w:t>
      </w:r>
      <w:r>
        <w:rPr>
          <w:rFonts w:hint="eastAsia"/>
          <w:color w:val="auto"/>
          <w:sz w:val="32"/>
          <w:highlight w:val="none"/>
          <w:lang w:val="en-US" w:eastAsia="zh-CN"/>
        </w:rPr>
        <w:t>99.9</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0.1</w:t>
      </w:r>
      <w:r>
        <w:rPr>
          <w:rFonts w:hint="eastAsia"/>
          <w:color w:val="auto"/>
          <w:sz w:val="32"/>
          <w:highlight w:val="none"/>
        </w:rPr>
        <w:t>%。偏差原因：为避免出现重复享受补助情况，剩余8217.6亩的补助未发放，退回国库</w:t>
      </w:r>
      <w:r>
        <w:rPr>
          <w:rFonts w:hint="eastAsia"/>
          <w:color w:val="auto"/>
          <w:sz w:val="32"/>
          <w:highlight w:val="none"/>
          <w:lang w:eastAsia="zh-CN"/>
        </w:rPr>
        <w:t>。</w:t>
      </w:r>
    </w:p>
    <w:p w14:paraId="49648A24">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14:paraId="6E6063A1">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14:paraId="6C755100">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14:paraId="6CF300FF">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14:paraId="503924AB">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14:paraId="40257E3E">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eastAsia="仿宋_GB2312"/>
          <w:b w:val="0"/>
          <w:bCs/>
          <w:color w:val="auto"/>
          <w:highlight w:val="none"/>
          <w:lang w:eastAsia="zh-CN"/>
        </w:rPr>
      </w:pPr>
      <w:r>
        <w:rPr>
          <w:rFonts w:hint="eastAsia" w:ascii="仿宋_GB2312" w:hAnsi="仿宋" w:cs="宋体"/>
          <w:b w:val="0"/>
          <w:bCs/>
          <w:color w:val="auto"/>
          <w:kern w:val="2"/>
          <w:highlight w:val="none"/>
          <w:lang w:val="en-US" w:eastAsia="zh-CN"/>
        </w:rPr>
        <w:t>无。</w:t>
      </w:r>
    </w:p>
    <w:p w14:paraId="5C861D2A">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14:paraId="5F520C50">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14:paraId="0A237160">
      <w:pPr>
        <w:rPr>
          <w:rFonts w:hint="eastAsia"/>
          <w:color w:val="auto"/>
          <w:highlight w:val="none"/>
        </w:rPr>
      </w:pPr>
    </w:p>
    <w:p w14:paraId="7AA47C2F">
      <w:pPr>
        <w:rPr>
          <w:rFonts w:hint="eastAsia"/>
          <w:color w:val="auto"/>
          <w:highlight w:val="none"/>
        </w:rPr>
      </w:pPr>
    </w:p>
    <w:p w14:paraId="123F644F">
      <w:pPr>
        <w:rPr>
          <w:rFonts w:hint="eastAsia"/>
          <w:color w:val="auto"/>
          <w:highlight w:val="none"/>
        </w:rPr>
      </w:pPr>
    </w:p>
    <w:p w14:paraId="46A9634F">
      <w:pPr>
        <w:spacing w:line="560" w:lineRule="exact"/>
        <w:rPr>
          <w:rFonts w:hint="eastAsia" w:ascii="仿宋_GB2312" w:hAnsi="仿宋_GB2312" w:cs="仿宋_GB2312"/>
          <w:color w:val="auto"/>
          <w:sz w:val="32"/>
          <w:szCs w:val="32"/>
          <w:highlight w:val="none"/>
        </w:rPr>
      </w:pPr>
    </w:p>
    <w:p w14:paraId="44D1B61E">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14:paraId="57CD7778">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14:paraId="043ACA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14:paraId="64EE5896">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14:paraId="1E201895">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14:paraId="6784C60D">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14:paraId="7340EC04">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14:paraId="768AE51B">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14:paraId="0E2CA932">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14:paraId="2D179F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14:paraId="03501C17">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14:paraId="13B309E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14:paraId="5AA36103">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14:paraId="4AA98FD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14:paraId="70D74AD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14:paraId="49CBEF65">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14:paraId="7EAEF3BF">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14:paraId="1DB5B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14:paraId="0E3A433F">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73451796">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7818A969">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14:paraId="4625B4A6">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14:paraId="20153024">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14:paraId="43FAECF9">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14:paraId="20AAC1DD">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14:paraId="226687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14:paraId="65FC8AD8">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14:paraId="14DE0B8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14:paraId="59C5A955">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14:paraId="2819FF7E">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14:paraId="707185E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14:paraId="4378B811">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14:paraId="21A5900A">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14:paraId="07B52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14:paraId="55DDBE4B">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1CDA7A9F">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00F3BB5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14:paraId="572630CB">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14:paraId="454A0A84">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14:paraId="5230742E">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14:paraId="5D3D6A4B">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14:paraId="0D19D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14:paraId="6004269C">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14:paraId="577DD8A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14:paraId="650FBAF7">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14:paraId="5243456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14:paraId="71773E45">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14:paraId="11995F2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14:paraId="64B83E1E">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14:paraId="71D79EFC">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14:paraId="6602F1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14:paraId="09523C7D">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6E0065FA">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1174FE8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14:paraId="091999F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14:paraId="08E0287B">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14:paraId="6D6C3F4F">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14:paraId="0AC2195B">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14:paraId="3F079D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14:paraId="43D0E995">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14:paraId="6E6DD2AB">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14:paraId="4F06CF70">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14:paraId="54C0DBF4">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14:paraId="488510C2">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14:paraId="7AF78532">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14:paraId="554C10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14:paraId="11852CC8">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0D823CFC">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112EF51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14:paraId="350D26A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14:paraId="4EB82A1C">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14:paraId="580A2E58">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4.99</w:t>
            </w:r>
          </w:p>
        </w:tc>
      </w:tr>
      <w:tr w14:paraId="0CEBDB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14:paraId="43E7D2CF">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14:paraId="69F7AC4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14:paraId="3529FB20">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14:paraId="115B8EA1">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14:paraId="0F496F3E">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14:paraId="13FBFECF">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14:paraId="4659B685">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14:paraId="402C4F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14:paraId="3F860930">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14:paraId="72AC565B">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14:paraId="61C37EA7">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14:paraId="33FEDF60">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14:paraId="677518B4">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14:paraId="7FB8A94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14:paraId="4E0BC9B7">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14:paraId="13E7C493">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14:paraId="00E10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14:paraId="73F7D8FF">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67E37FD3">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6246D00E">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14:paraId="00B7BDA9">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14:paraId="511D31A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14:paraId="2B1BC6B5">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14:paraId="0E82C279">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14:paraId="01D979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14:paraId="1CFB546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14:paraId="03F2CCC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14:paraId="7E188F3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14:paraId="1DC66F6F">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14:paraId="43CD98A6">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14:paraId="006D413B">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14:paraId="0697E2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14:paraId="280A4576">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14:paraId="2A325AAB">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14:paraId="2A45E0B4">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14:paraId="51C12805">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14:paraId="2155691F">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14:paraId="001B8AF6">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14:paraId="2BACA2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14:paraId="064B4E37">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14:paraId="3F0CEC74">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14:paraId="3482E557">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14:paraId="69E2ECB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14:paraId="04AE4DEB">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14:paraId="1501A456">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14:paraId="75A15F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14:paraId="07D28B68">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14:paraId="47DC5CC2">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14:paraId="1775234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14:paraId="3D288FA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14:paraId="275989F7">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14:paraId="3CF12B8A">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7.99</w:t>
            </w:r>
          </w:p>
        </w:tc>
      </w:tr>
      <w:tr w14:paraId="685BB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14:paraId="682ACB26">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14:paraId="5D6C7BEC">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14:paraId="08B49AE9">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14:paraId="69C09538">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14:paraId="788F990C">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14:paraId="46D00F0B">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14:paraId="46786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14:paraId="655E6610">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14:paraId="14F9A78B">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14:paraId="00B18369">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14:paraId="30FFA920">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14:paraId="124171B6">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14:paraId="5676F92C">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14:paraId="37E415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14:paraId="1B8149A6">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14:paraId="2B71D35B">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14:paraId="52AC756D">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14:paraId="21B06950">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99.99</w:t>
            </w:r>
          </w:p>
        </w:tc>
      </w:tr>
    </w:tbl>
    <w:p w14:paraId="44DB46C6">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6A77AB-B9FC-4311-BCBB-238164BF49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2C5432B-81CC-43FC-B85B-5017A750866C}"/>
  </w:font>
  <w:font w:name="Cambria">
    <w:panose1 w:val="02040503050406030204"/>
    <w:charset w:val="00"/>
    <w:family w:val="roman"/>
    <w:pitch w:val="default"/>
    <w:sig w:usb0="E00006FF" w:usb1="420024FF" w:usb2="02000000" w:usb3="00000000" w:csb0="2000019F" w:csb1="00000000"/>
    <w:embedRegular r:id="rId3" w:fontKey="{FE36023D-0C66-4F91-8CA7-FB367422F1FB}"/>
  </w:font>
  <w:font w:name="方正小标宋_GBK">
    <w:panose1 w:val="02000000000000000000"/>
    <w:charset w:val="86"/>
    <w:family w:val="script"/>
    <w:pitch w:val="default"/>
    <w:sig w:usb0="A00002BF" w:usb1="38CF7CFA" w:usb2="00082016" w:usb3="00000000" w:csb0="00040001" w:csb1="00000000"/>
    <w:embedRegular r:id="rId4" w:fontKey="{88C3ABA3-F6FD-47CD-9D81-80CE66C53EAB}"/>
  </w:font>
  <w:font w:name="楷体">
    <w:panose1 w:val="02010609060101010101"/>
    <w:charset w:val="86"/>
    <w:family w:val="modern"/>
    <w:pitch w:val="default"/>
    <w:sig w:usb0="800002BF" w:usb1="38CF7CFA" w:usb2="00000016" w:usb3="00000000" w:csb0="00040001" w:csb1="00000000"/>
    <w:embedRegular r:id="rId5" w:fontKey="{6F2802CA-A555-4F08-B91C-A5FE15C233B1}"/>
  </w:font>
  <w:font w:name="仿宋">
    <w:panose1 w:val="02010609060101010101"/>
    <w:charset w:val="86"/>
    <w:family w:val="auto"/>
    <w:pitch w:val="default"/>
    <w:sig w:usb0="800002BF" w:usb1="38CF7CFA" w:usb2="00000016" w:usb3="00000000" w:csb0="00040001" w:csb1="00000000"/>
    <w:embedRegular r:id="rId6" w:fontKey="{C0CF9EDD-AA80-430C-B103-E48134A3E9E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3"/>
      <w:numFmt w:val="decimal"/>
      <w:suff w:val="nothing"/>
      <w:lvlText w:val="%1．"/>
      <w:lvlJc w:val="left"/>
      <w:rPr>
        <w:rFonts w:hint="default"/>
        <w:b/>
        <w:bCs/>
        <w:color w:val="auto"/>
      </w:rPr>
    </w:lvl>
  </w:abstractNum>
  <w:abstractNum w:abstractNumId="1">
    <w:nsid w:val="59ADCABA"/>
    <w:multiLevelType w:val="multilevel"/>
    <w:tmpl w:val="59ADCABA"/>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DkzYTY1ODhmZjRiY2MxNDhlNzhkN2RkNzk0ZmMyNjIifQ=="/>
  </w:docVars>
  <w:rsids>
    <w:rsidRoot w:val="00000000"/>
    <w:rsid w:val="2D6C149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2"/>
    <w:link w:val="3"/>
    <w:qFormat/>
    <w:uiPriority w:val="0"/>
    <w:rPr>
      <w:rFonts w:eastAsia="仿宋_GB2312"/>
      <w:b/>
      <w:bCs/>
      <w:kern w:val="44"/>
      <w:sz w:val="44"/>
      <w:szCs w:val="44"/>
    </w:rPr>
  </w:style>
  <w:style w:type="character" w:customStyle="1" w:styleId="18">
    <w:name w:val="标题 2 Char"/>
    <w:basedOn w:val="12"/>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F60F984F02024FC2955EB384CE25BA1E_13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9c8d8220-a919-4ff5-8551-e6842fbd54bf}">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Pages>
  <Words>9171</Words>
  <Characters>9527</Characters>
  <Lines>56</Lines>
  <Paragraphs>15</Paragraphs>
  <TotalTime>43</TotalTime>
  <ScaleCrop>false</ScaleCrop>
  <LinksUpToDate>false</LinksUpToDate>
  <CharactersWithSpaces>9538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雨。</cp:lastModifiedBy>
  <dcterms:modified xsi:type="dcterms:W3CDTF">2025-09-08T04:07:24Z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F60F984F02024FC2955EB384CE25BA1E_13</vt:lpwstr>
  </property>
  <property fmtid="{D5CDD505-2E9C-101B-9397-08002B2CF9AE}" pid="4" name="KSOTemplateDocerSaveRecord">
    <vt:lpwstr>eyJoZGlkIjoiYzZkNzQ4ZWFiZmQ4NTRhOWRkZTk3YTMwMjlmMmZhYmUiLCJ1c2VySWQiOiI1NzgxMjU4NDIifQ_x003D__x003D_</vt:lpwstr>
  </property>
</Properties>
</file>