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乡村振兴有效衔接项目工作经费项目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项目名称：乡村振兴有效衔接项目工作经费项目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项目单位：阿图什市乡村振兴局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主管部门：阿图什市乡村振兴局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乡村振兴有效衔接项目工作经费项目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进一步补齐乡村振兴工作短板，提升乡村振兴工作质量，达到乡村振兴工作效果，根据阿图什市“十四五”规划及巩固拓展脱贫攻坚成果同乡村振兴有效衔接工作发展需要，按自治区、自治州巩固拓展脱贫攻坚成果同乡村振兴有效衔接工作实施方案，结合本单位乡村振兴工作管理职能及职责，按照年度工作计划，开展乡村振兴有效衔接项目工作经费。本项目立项依据为：阿图什市委、阿图什市人民政府印发《国务院关于实现巩固拓展脱贫攻坚成果同乡村振兴有效衔接的意见》的通知及阿图什市乡村振兴局财经领导小组会会议纪要。</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乡村振兴局财经领导小组会会议纪要》，结合单位实际情况实施本项目，项目总投资30万元，用于保障2辆公务用车正常运行，购买12批办公用品，购买4批办公设备，编印各类文件资料10万份，保障1栋办公楼的基础设施完备健全。计划安排10人参加上级会议培训，本单位牵头组织200人次的专题培训。通过实施，全力保障实现巩固拓展脱贫攻坚成果同乡村振兴有效衔接，顺利完成好2024年各类开支保障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实施主体：本项目的主管部门为阿图什市乡村振兴局,实施单位为阿图什市乡村振兴局，主要职责：项目实施过程中严格按照实施方案进行实施并及时进行监督管理，项目实施后进行及时验收及后期管理。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lang w:val="en-US" w:eastAsia="zh-CN"/>
        </w:rPr>
        <w:t xml:space="preserve">0</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0.85</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3</w:t>
      </w:r>
      <w:r>
        <w:rPr>
          <w:rStyle w:val="Strong"/>
          <w:rFonts w:ascii="仿宋_GB2312" w:hAnsi="仿宋_GB2312" w:cs="仿宋_GB2312" w:hint="eastAsia"/>
          <w:b w:val="0"/>
          <w:color w:val="auto"/>
          <w:spacing w:val="-4"/>
          <w:sz w:val="32"/>
          <w:szCs w:val="30"/>
          <w:highlight w:val="none"/>
          <w:lang w:val="en-US" w:eastAsia="zh-CN"/>
        </w:rPr>
        <w:t xml:space="preserve">6.2</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购买办公用品成本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2.46万元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编印文件资料成本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0.24万元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办公场所维修维护成本出差人员成本</w:t>
      </w:r>
      <w:r>
        <w:rPr>
          <w:rStyle w:val="Strong"/>
          <w:rFonts w:ascii="仿宋_GB2312" w:hint="eastAsia"/>
          <w:b w:val="0"/>
          <w:color w:val="auto"/>
          <w:spacing w:val="-4"/>
          <w:sz w:val="32"/>
          <w:highlight w:val="none"/>
        </w:rPr>
        <w:tab/>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1.75万元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信息网络及软件购置成本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6.41万元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乡村振兴局财经领导小组会会议纪要》，结合单位实际情况实施本项目，项目总投资30万元，用于保障2辆公务用车正常运行，购买12批办公用品，购买4批办公设备，编印各类文件资料10万份，保障1栋办公楼的基础设施完备健全。计划安排10人参加上级会议培训，本单位牵头组织200人次的专题培训。通过实施，全力保障实现巩固拓展脱贫攻坚成果同乡村振兴有效衔接，顺利完成好2024年各类开支保障工作。</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乡村振兴有效衔接项目工作经费项目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乡村振兴有效衔接项目工作经费项目</w:t>
      </w:r>
      <w:r>
        <w:rPr>
          <w:rFonts w:ascii="仿宋_GB2312" w:hAnsi="仿宋_GB2312" w:cs="仿宋_GB2312" w:hint="eastAsia"/>
          <w:color w:val="auto"/>
          <w:sz w:val="32"/>
          <w:highlight w:val="none"/>
        </w:rPr>
        <w:t xml:space="preserve">的指标体系，从项目决策、项目过程、项目产出和项目绩效四个维度全面推进乡村振兴</w:t>
      </w:r>
      <w:r>
        <w:rPr>
          <w:rFonts w:ascii="仿宋_GB2312" w:hAnsi="仿宋_GB2312" w:cs="仿宋_GB2312" w:hint="eastAsia"/>
          <w:color w:val="auto"/>
          <w:sz w:val="32"/>
          <w:highlight w:val="none"/>
          <w:lang w:eastAsia="zh-CN"/>
        </w:rPr>
        <w:t xml:space="preserve">有效衔接项目工作经费项目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乡村振兴有效衔接项目工作经费项目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724"/>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724"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24"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lang w:val="en-US" w:eastAsia="zh-CN"/>
              </w:rPr>
            </w:pPr>
            <w:r>
              <w:rPr>
                <w:rFonts w:hint="eastAsia"/>
                <w:b w:val="0"/>
                <w:bCs w:val="0"/>
                <w:color w:val="auto"/>
                <w:highlight w:val="none"/>
                <w:lang w:val="en-US" w:eastAsia="zh-CN"/>
              </w:rPr>
              <w:t xml:space="preserve">李凯</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24"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lang w:val="en-US" w:eastAsia="zh-CN"/>
              </w:rPr>
            </w:pPr>
            <w:r>
              <w:rPr>
                <w:rFonts w:hint="eastAsia"/>
                <w:b w:val="0"/>
                <w:bCs w:val="0"/>
                <w:color w:val="auto"/>
                <w:highlight w:val="none"/>
                <w:lang w:val="en-US" w:eastAsia="zh-CN"/>
              </w:rPr>
              <w:t xml:space="preserve">尼各热·艾尼瓦尔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24"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海米提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乡村振兴有效衔接项目工作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组织管理、产出与效益效果。在此基础上，以相关的项目数据为基础，综合运用不同的评价方法，结合评价标准和评分规则，乡村振兴有效衔接项目工作经费项目综合得分为91.53分，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年乡村振兴有效衔接项目工作经费项目评价得分情况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60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72"/>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13.81</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预算执行率扣3.19分</w:t>
            </w:r>
          </w:p>
        </w:tc>
      </w:tr>
      <w:tr>
        <w:tblPrEx>
          <w:tblW w:w="9309" w:type="dxa"/>
          <w:tblLayout w:type="fixed"/>
          <w:tblCellMar>
            <w:top w:w="0" w:type="dxa"/>
            <w:left w:w="10" w:type="dxa"/>
            <w:bottom w:w="0" w:type="dxa"/>
            <w:right w:w="10" w:type="dxa"/>
          </w:tblCellMar>
        </w:tblPrEx>
        <w:trPr>
          <w:trHeight w:hRule="exact" w:val="683"/>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24.72</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成本指标扣5.28分</w:t>
            </w:r>
          </w:p>
        </w:tc>
      </w:tr>
      <w:tr>
        <w:tblPrEx>
          <w:tblW w:w="9309" w:type="dxa"/>
          <w:tblLayout w:type="fixed"/>
          <w:tblCellMar>
            <w:top w:w="0" w:type="dxa"/>
            <w:left w:w="10" w:type="dxa"/>
            <w:bottom w:w="0" w:type="dxa"/>
            <w:right w:w="10" w:type="dxa"/>
          </w:tblCellMar>
        </w:tblPrEx>
        <w:trPr>
          <w:trHeight w:hRule="exact" w:val="558"/>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590"/>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91.53</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年已完成保障用车数量2辆</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购买办公用品数量12批</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编印文件资料数量10万份</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出差人数10人</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参加会议培训人次200人次</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信息网络及软件购置100次等工作；通过该项目的实施全力保障巩固拓展脱贫攻坚成果同乡村振兴有效衔接工作。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10.85</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91.53</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乡村振兴有效衔接项目工作经费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乡村振兴有效衔接项目工作经费项目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数量指标为保障用车数量，预期指标值是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2辆，实际完成值是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2辆，指标达到预期目标。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数量指标为购买办公用品数量，预期指标值是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12批，指标达到预期目标。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数量指标为编印文件资料数量，预期指标值是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10万份，实际完成值是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10万份，指标达到预期目标。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数量指标为出差人数，预期指标值是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10人，指标达到预期目标。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数量指标为参加会议培训人次，预期指标值是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200人次，实际完成值是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200人次，指标达到预期目标。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数量指标为信息网络及软件购置，预期指标值是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100次，实际完成值是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100次，指标达到预期目标。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质量指标为办公用品质量合格率，预期指标值是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成本指标为保障用车成本，预期指标值是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达到预期目标。原因：使用单位公用经费解决相关费用，因此资金未支出；措施：今后做好年初计划，提高预算执行率，减少偏差。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成本指标为购买办公用品成本，预期指标值是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2.46万元，指标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达到预期目标。原因：根据实际提供的支出材料进行支出，因此指标未完成；原因：使用单位其他资金解决相关费用，因此资金未支出；措施：今后做好年初计划，提高预算执行率，减少偏差。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成本指标为编印文件资料成本，预期指标值是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0.24万元，指标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达到预期目标。原因：根据实际提供的支出材料进行支出，因此指标未完成；原因：使用单位其他资金解决相关费用，因此资金未支出；措施：今后做好年初计划，提高预算执行率，减少偏差。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成本指标为办公场所维修维护成本，预期指标值是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达到预期目标。原因：使用单位其他资金解决相关费用，因此资金未支出；措施：今后做好年初计划，提高预算执行率，减少偏差。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成本指标为出差人员成本，预期指标值是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1.75万元，指标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达到预期目标。原因：年初预算不够精准，根据实际产生的费用进行报销，指标存在偏差；措施：今后做好年初计划，提高预算执行率，减少偏差。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成本指标为会议培训成本，预期指标值是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达到预期目标。原因：使用单位其他资金解决相关费用，因此资金未支出；措施：今后做好年初计划，提高预算执行率，减少偏差。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成本指标为信息网络及软件购置成本，预期指标值是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7万元，实际完成值是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6.41万元，指标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达到预期目标。原因：年初预算不够精准，根据实际产生的费用进行报销，指标存在偏差；措施：今后做好年初计划，提高预算执行率，减少偏差。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指标为保障部门工作正常开展，预期指标值是有效保障，实际完成值是有效保障，指标达到预期目标。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满意度指标为受益人员满意度，预期指标值是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仿宋_GB2312" w:hAnsi="楷体" w:hint="eastAsia"/>
          <w:color w:val="auto"/>
          <w:sz w:val="32"/>
          <w:szCs w:val="32"/>
          <w:highlight w:val="none"/>
          <w:lang w:eastAsia="zh-CN"/>
        </w:rPr>
      </w:pPr>
      <w:r>
        <w:rPr>
          <w:rFonts w:hint="eastAsia"/>
          <w:color w:val="auto"/>
          <w:sz w:val="32"/>
          <w:highlight w:val="none"/>
        </w:rPr>
        <w:t xml:space="preserve">本项目全年预算数</w:t>
      </w:r>
      <w:r>
        <w:rPr>
          <w:rFonts w:hint="eastAsia"/>
          <w:color w:val="auto"/>
          <w:sz w:val="32"/>
          <w:highlight w:val="none"/>
          <w:lang w:val="en-US" w:eastAsia="zh-CN"/>
        </w:rPr>
        <w:t xml:space="preserve">30</w:t>
      </w:r>
      <w:r>
        <w:rPr>
          <w:rFonts w:hint="eastAsia"/>
          <w:color w:val="auto"/>
          <w:sz w:val="32"/>
          <w:highlight w:val="none"/>
        </w:rPr>
        <w:t xml:space="preserve">万元，执行数</w:t>
      </w:r>
      <w:r>
        <w:rPr>
          <w:rFonts w:hint="eastAsia"/>
          <w:color w:val="auto"/>
          <w:sz w:val="32"/>
          <w:highlight w:val="none"/>
          <w:lang w:val="en-US" w:eastAsia="zh-CN"/>
        </w:rPr>
        <w:t xml:space="preserve">10.85</w:t>
      </w:r>
      <w:r>
        <w:rPr>
          <w:rFonts w:hint="eastAsia"/>
          <w:color w:val="auto"/>
          <w:sz w:val="32"/>
          <w:highlight w:val="none"/>
        </w:rPr>
        <w:t xml:space="preserve">万元，执行率</w:t>
      </w:r>
      <w:r>
        <w:rPr>
          <w:rFonts w:hint="eastAsia"/>
          <w:color w:val="auto"/>
          <w:sz w:val="32"/>
          <w:highlight w:val="none"/>
          <w:lang w:val="en-US" w:eastAsia="zh-CN"/>
        </w:rPr>
        <w:t xml:space="preserve">36.2</w:t>
      </w:r>
      <w:r>
        <w:rPr>
          <w:rFonts w:hint="eastAsia"/>
          <w:color w:val="auto"/>
          <w:sz w:val="32"/>
          <w:highlight w:val="none"/>
        </w:rPr>
        <w:t xml:space="preserve">%，绩效指标完成率</w:t>
      </w:r>
      <w:r>
        <w:rPr>
          <w:rFonts w:hint="eastAsia"/>
          <w:color w:val="auto"/>
          <w:sz w:val="32"/>
          <w:highlight w:val="none"/>
          <w:lang w:val="en-US" w:eastAsia="zh-CN"/>
        </w:rPr>
        <w:t xml:space="preserve">69</w:t>
      </w:r>
      <w:r>
        <w:rPr>
          <w:rFonts w:hint="eastAsia"/>
          <w:color w:val="auto"/>
          <w:sz w:val="32"/>
          <w:highlight w:val="none"/>
        </w:rPr>
        <w:t xml:space="preserve">%，偏差率</w:t>
      </w:r>
      <w:r>
        <w:rPr>
          <w:rFonts w:hint="eastAsia"/>
          <w:color w:val="auto"/>
          <w:sz w:val="32"/>
          <w:highlight w:val="none"/>
          <w:lang w:val="en-US" w:eastAsia="zh-CN"/>
        </w:rPr>
        <w:t xml:space="preserve">32.8</w:t>
      </w:r>
      <w:r>
        <w:rPr>
          <w:rFonts w:hint="eastAsia"/>
          <w:color w:val="auto"/>
          <w:sz w:val="32"/>
          <w:highlight w:val="none"/>
        </w:rPr>
        <w:t xml:space="preserve">%。偏差原因：年初预算编制不够精准，项目实施过程中部分资金使用别的预算指标解决，因此全年预算执行率偏低</w:t>
      </w:r>
      <w:r>
        <w:rPr>
          <w:rFonts w:hint="eastAsia"/>
          <w:color w:val="auto"/>
          <w:sz w:val="32"/>
          <w:highlight w:val="none"/>
          <w:lang w:eastAsia="zh-CN"/>
        </w:rPr>
        <w:t xml:space="preserve">。</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1.81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1.72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91.53</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B1574BF2133A45CB8D1D384A3352B74D_13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B1574BF2133A45CB8D1D384A3352B74D_13</vt:lpwstr>
  </property>
  <property fmtid="{D5CDD505-2E9C-101B-9397-08002B2CF9AE}" pid="4" name="KSOTemplateDocerSaveRecord">
    <vt:lpwstr>eyJoZGlkIjoiYzZkNzQ4ZWFiZmQ4NTRhOWRkZTk3YTMwMjlmMmZhYmUiLCJ1c2VySWQiOiI1NzgxMjU4NDIifQ_x003D__x003D_</vt:lpwstr>
  </property>
</Properties>
</file>