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D28D70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阿图什工业园区管理委员会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635DB93">
      <w:r>
        <w:br w:type="page"/>
      </w:r>
    </w:p>
    <w:p w14:paraId="66BA4626">
      <w:pPr>
        <w:spacing w:line="640" w:lineRule="exact"/>
        <w:jc w:val="center"/>
        <w:outlineLvl w:val="1"/>
      </w:pPr>
      <w:r>
        <w:rPr>
          <w:rFonts w:ascii="黑体" w:hAnsi="黑体" w:eastAsia="黑体"/>
          <w:sz w:val="32"/>
        </w:rPr>
        <w:t>第一部分 单位概况</w:t>
      </w:r>
    </w:p>
    <w:p w14:paraId="5DB5FA0D">
      <w:pPr>
        <w:spacing w:line="640" w:lineRule="exact"/>
        <w:ind w:firstLine="640"/>
        <w:jc w:val="both"/>
        <w:outlineLvl w:val="2"/>
      </w:pPr>
      <w:r>
        <w:rPr>
          <w:rFonts w:ascii="黑体" w:hAnsi="黑体" w:eastAsia="黑体"/>
          <w:sz w:val="32"/>
        </w:rPr>
        <w:t>一、主要职能</w:t>
      </w:r>
    </w:p>
    <w:p w14:paraId="401691E4">
      <w:pPr>
        <w:spacing w:line="580" w:lineRule="exact"/>
        <w:ind w:firstLine="640"/>
        <w:jc w:val="both"/>
      </w:pPr>
      <w:r>
        <w:rPr>
          <w:rFonts w:ascii="仿宋_GB2312" w:hAnsi="仿宋_GB2312" w:eastAsia="仿宋_GB2312"/>
          <w:sz w:val="32"/>
        </w:rPr>
        <w:t>园区经济社会发展计划，产业发展规划和建设规划；负责园区权限内各类投资项目的审批、核准和备案工作：负责园区的土地开发、建设和管理工作：负责园区各类公共基础设施和房产开发、市政及园区绿化等工作；社会事业发展和社会事务管理工作：负责全市</w:t>
      </w:r>
      <w:r>
        <w:rPr>
          <w:rFonts w:hint="eastAsia" w:ascii="仿宋_GB2312" w:hAnsi="仿宋_GB2312" w:eastAsia="仿宋_GB2312"/>
          <w:sz w:val="32"/>
          <w:lang w:eastAsia="zh-CN"/>
        </w:rPr>
        <w:t>招</w:t>
      </w:r>
      <w:r>
        <w:rPr>
          <w:rFonts w:ascii="仿宋_GB2312" w:hAnsi="仿宋_GB2312" w:eastAsia="仿宋_GB2312"/>
          <w:sz w:val="32"/>
        </w:rPr>
        <w:t>商引资、园区人才引进和对外经济技术合作工作。</w:t>
      </w:r>
    </w:p>
    <w:p w14:paraId="43B81771">
      <w:pPr>
        <w:spacing w:line="640" w:lineRule="exact"/>
        <w:ind w:firstLine="640"/>
        <w:jc w:val="both"/>
        <w:outlineLvl w:val="2"/>
      </w:pPr>
      <w:r>
        <w:rPr>
          <w:rFonts w:ascii="黑体" w:hAnsi="黑体" w:eastAsia="黑体"/>
          <w:sz w:val="32"/>
        </w:rPr>
        <w:t>二、机构设置及人员情况</w:t>
      </w:r>
    </w:p>
    <w:p w14:paraId="6E79FDD2">
      <w:pPr>
        <w:spacing w:line="580" w:lineRule="exact"/>
        <w:ind w:firstLine="640"/>
        <w:jc w:val="both"/>
      </w:pPr>
      <w:r>
        <w:rPr>
          <w:rFonts w:ascii="仿宋_GB2312" w:hAnsi="仿宋_GB2312" w:eastAsia="仿宋_GB2312"/>
          <w:sz w:val="32"/>
        </w:rPr>
        <w:t>阿图什工业园区管理委员会2024年度，实有人数28人，其中：在职人员26人，增加9人；离休人员0人，增加0人；退休人员2人</w:t>
      </w:r>
      <w:r>
        <w:rPr>
          <w:rFonts w:hint="eastAsia" w:ascii="仿宋_GB2312" w:hAnsi="仿宋_GB2312" w:eastAsia="仿宋_GB2312"/>
          <w:sz w:val="32"/>
          <w:lang w:eastAsia="zh-CN"/>
        </w:rPr>
        <w:t>，</w:t>
      </w:r>
      <w:r>
        <w:rPr>
          <w:rFonts w:ascii="仿宋_GB2312" w:hAnsi="仿宋_GB2312" w:eastAsia="仿宋_GB2312"/>
          <w:sz w:val="32"/>
        </w:rPr>
        <w:t>增加0人。</w:t>
      </w:r>
    </w:p>
    <w:p w14:paraId="4F8F9E1D">
      <w:pPr>
        <w:spacing w:line="580" w:lineRule="exact"/>
        <w:ind w:firstLine="640"/>
        <w:jc w:val="both"/>
      </w:pPr>
      <w:r>
        <w:rPr>
          <w:rFonts w:ascii="仿宋_GB2312" w:hAnsi="仿宋_GB2312" w:eastAsia="仿宋_GB2312"/>
          <w:sz w:val="32"/>
        </w:rPr>
        <w:t>阿图什工业园区管理委员会无下属预算单位，下设5个科室，分别是：财政局、党政综合办公室、建设环保局、招商发展局、社会事业管理局。</w:t>
      </w:r>
    </w:p>
    <w:p w14:paraId="30D790AB">
      <w:r>
        <w:br w:type="page"/>
      </w:r>
    </w:p>
    <w:p w14:paraId="7CFD218A">
      <w:pPr>
        <w:spacing w:line="240" w:lineRule="auto"/>
        <w:jc w:val="center"/>
        <w:outlineLvl w:val="1"/>
      </w:pPr>
      <w:r>
        <w:rPr>
          <w:rFonts w:ascii="黑体" w:hAnsi="黑体" w:eastAsia="黑体"/>
          <w:sz w:val="32"/>
        </w:rPr>
        <w:t>第二部分 部门决算情况说明</w:t>
      </w:r>
    </w:p>
    <w:p w14:paraId="4802433B">
      <w:pPr>
        <w:spacing w:line="640" w:lineRule="exact"/>
        <w:ind w:firstLine="640"/>
        <w:jc w:val="both"/>
        <w:outlineLvl w:val="2"/>
      </w:pPr>
      <w:r>
        <w:rPr>
          <w:rFonts w:ascii="黑体" w:hAnsi="黑体" w:eastAsia="黑体"/>
          <w:sz w:val="32"/>
        </w:rPr>
        <w:t>一、收入支出决算总体情况说明</w:t>
      </w:r>
    </w:p>
    <w:p w14:paraId="3A5CCC02">
      <w:pPr>
        <w:spacing w:line="580" w:lineRule="exact"/>
        <w:ind w:firstLine="640"/>
        <w:jc w:val="both"/>
      </w:pPr>
      <w:r>
        <w:rPr>
          <w:rFonts w:ascii="仿宋_GB2312" w:hAnsi="仿宋_GB2312" w:eastAsia="仿宋_GB2312"/>
          <w:b/>
          <w:sz w:val="32"/>
        </w:rPr>
        <w:t>2024年度收入总计11,391.31万元，</w:t>
      </w:r>
      <w:r>
        <w:rPr>
          <w:rFonts w:ascii="仿宋_GB2312" w:hAnsi="仿宋_GB2312" w:eastAsia="仿宋_GB2312"/>
          <w:b w:val="0"/>
          <w:sz w:val="32"/>
        </w:rPr>
        <w:t>其中：本年收入合计10,730.43万元，使用非财政拨款结余（含专用结余）0.00万元，年初结转和结余660.88万元。</w:t>
      </w:r>
    </w:p>
    <w:p w14:paraId="4E3CB424">
      <w:pPr>
        <w:spacing w:line="580" w:lineRule="exact"/>
        <w:ind w:firstLine="640"/>
        <w:jc w:val="both"/>
      </w:pPr>
      <w:r>
        <w:rPr>
          <w:rFonts w:ascii="仿宋_GB2312" w:hAnsi="仿宋_GB2312" w:eastAsia="仿宋_GB2312"/>
          <w:b/>
          <w:sz w:val="32"/>
        </w:rPr>
        <w:t>2024年度支出总计11,391.31万元，</w:t>
      </w:r>
      <w:r>
        <w:rPr>
          <w:rFonts w:ascii="仿宋_GB2312" w:hAnsi="仿宋_GB2312" w:eastAsia="仿宋_GB2312"/>
          <w:b w:val="0"/>
          <w:sz w:val="32"/>
        </w:rPr>
        <w:t>其中：本年支出合计10,838.50万元，结余分配0.00万元，年末结转和结余552.80万元。</w:t>
      </w:r>
    </w:p>
    <w:p w14:paraId="2E695C40">
      <w:pPr>
        <w:spacing w:line="580" w:lineRule="exact"/>
        <w:ind w:firstLine="640"/>
        <w:jc w:val="both"/>
      </w:pPr>
      <w:r>
        <w:rPr>
          <w:rFonts w:ascii="仿宋_GB2312" w:hAnsi="仿宋_GB2312" w:eastAsia="仿宋_GB2312"/>
          <w:b w:val="0"/>
          <w:sz w:val="32"/>
        </w:rPr>
        <w:t>收入支出总体与上年相比，减少7,081.44万元，下降38.33%，主要原因是：本年减少重工业园区停车场、昆山产业园综合配套及一园四区二期等项目资金。</w:t>
      </w:r>
    </w:p>
    <w:p w14:paraId="64D892F2">
      <w:pPr>
        <w:spacing w:line="640" w:lineRule="exact"/>
        <w:ind w:firstLine="640"/>
        <w:jc w:val="both"/>
        <w:outlineLvl w:val="2"/>
      </w:pPr>
      <w:r>
        <w:rPr>
          <w:rFonts w:ascii="黑体" w:hAnsi="黑体" w:eastAsia="黑体"/>
          <w:sz w:val="32"/>
        </w:rPr>
        <w:t>二、收入决算情况说明</w:t>
      </w:r>
    </w:p>
    <w:p w14:paraId="0C545687">
      <w:pPr>
        <w:spacing w:line="580" w:lineRule="exact"/>
        <w:ind w:firstLine="640"/>
        <w:jc w:val="both"/>
      </w:pPr>
      <w:r>
        <w:rPr>
          <w:rFonts w:ascii="仿宋_GB2312" w:hAnsi="仿宋_GB2312" w:eastAsia="仿宋_GB2312"/>
          <w:b/>
          <w:sz w:val="32"/>
        </w:rPr>
        <w:t>本年收入10,730.43万元，</w:t>
      </w:r>
      <w:r>
        <w:rPr>
          <w:rFonts w:ascii="仿宋_GB2312" w:hAnsi="仿宋_GB2312" w:eastAsia="仿宋_GB2312"/>
          <w:b w:val="0"/>
          <w:sz w:val="32"/>
        </w:rPr>
        <w:t>其中：财政拨款收入8,412.67万元，占78.40%；上级补助收入0.00万元，占0.00%；事业收入0.00万元，占0.00%；经营收入0.00万元，占0.00%；附属单位上缴收入0.00万元，占0.00%；其他收入2,317.76万元，占21.60%。</w:t>
      </w:r>
    </w:p>
    <w:p w14:paraId="524CE6C8">
      <w:pPr>
        <w:spacing w:line="640" w:lineRule="exact"/>
        <w:ind w:firstLine="640"/>
        <w:jc w:val="both"/>
        <w:outlineLvl w:val="2"/>
      </w:pPr>
      <w:r>
        <w:rPr>
          <w:rFonts w:ascii="黑体" w:hAnsi="黑体" w:eastAsia="黑体"/>
          <w:sz w:val="32"/>
        </w:rPr>
        <w:t>三、支出决算情况说明</w:t>
      </w:r>
    </w:p>
    <w:p w14:paraId="7F7102E2">
      <w:pPr>
        <w:spacing w:line="580" w:lineRule="exact"/>
        <w:ind w:firstLine="640"/>
        <w:jc w:val="both"/>
      </w:pPr>
      <w:r>
        <w:rPr>
          <w:rFonts w:ascii="仿宋_GB2312" w:hAnsi="仿宋_GB2312" w:eastAsia="仿宋_GB2312"/>
          <w:b/>
          <w:sz w:val="32"/>
        </w:rPr>
        <w:t>本年支出10,838.50万元，</w:t>
      </w:r>
      <w:r>
        <w:rPr>
          <w:rFonts w:ascii="仿宋_GB2312" w:hAnsi="仿宋_GB2312" w:eastAsia="仿宋_GB2312"/>
          <w:b w:val="0"/>
          <w:sz w:val="32"/>
        </w:rPr>
        <w:t>其中：基本支出376.10万元，占3.47%；项目支出10,462.41万元，占96.53%；上缴上级支出0.00万元，占0.00%；经营支出0.00万元，占0.00%；对附属单位补助支出0.00万元，占0.00%。</w:t>
      </w:r>
    </w:p>
    <w:p w14:paraId="1938E293">
      <w:pPr>
        <w:spacing w:line="640" w:lineRule="exact"/>
        <w:ind w:firstLine="640"/>
        <w:jc w:val="both"/>
        <w:outlineLvl w:val="2"/>
      </w:pPr>
      <w:r>
        <w:rPr>
          <w:rFonts w:ascii="黑体" w:hAnsi="黑体" w:eastAsia="黑体"/>
          <w:sz w:val="32"/>
        </w:rPr>
        <w:t>四、财政拨款收入支出决算总体情况说明</w:t>
      </w:r>
    </w:p>
    <w:p w14:paraId="06F67343">
      <w:pPr>
        <w:spacing w:line="580" w:lineRule="exact"/>
        <w:ind w:firstLine="640"/>
        <w:jc w:val="both"/>
      </w:pPr>
      <w:r>
        <w:rPr>
          <w:rFonts w:ascii="仿宋_GB2312" w:hAnsi="仿宋_GB2312" w:eastAsia="仿宋_GB2312"/>
          <w:b/>
          <w:sz w:val="32"/>
        </w:rPr>
        <w:t>2024年度财政拨款收入总计8,412.67万元，</w:t>
      </w:r>
      <w:r>
        <w:rPr>
          <w:rFonts w:ascii="仿宋_GB2312" w:hAnsi="仿宋_GB2312" w:eastAsia="仿宋_GB2312"/>
          <w:b w:val="0"/>
          <w:sz w:val="32"/>
        </w:rPr>
        <w:t>其中：年初财政拨款结转和结余0.00万元，本年财政拨款收入8,412.67万元。</w:t>
      </w:r>
      <w:r>
        <w:rPr>
          <w:rFonts w:ascii="仿宋_GB2312" w:hAnsi="仿宋_GB2312" w:eastAsia="仿宋_GB2312"/>
          <w:b/>
          <w:sz w:val="32"/>
        </w:rPr>
        <w:t>财政拨款支出总计8,412.67万元，</w:t>
      </w:r>
      <w:r>
        <w:rPr>
          <w:rFonts w:ascii="仿宋_GB2312" w:hAnsi="仿宋_GB2312" w:eastAsia="仿宋_GB2312"/>
          <w:b w:val="0"/>
          <w:sz w:val="32"/>
        </w:rPr>
        <w:t>其中：年末财政拨款结转和结余0.00万元，本年财政拨款支出8,412.67万元。</w:t>
      </w:r>
    </w:p>
    <w:p w14:paraId="258D116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减少8,661.65万元，下降50.73%，主要原因是：本年减少重工业园区停车场、昆山产业园综合配套及一园四区二期等项目资金。</w:t>
      </w:r>
      <w:r>
        <w:rPr>
          <w:rFonts w:ascii="仿宋_GB2312" w:hAnsi="仿宋_GB2312" w:eastAsia="仿宋_GB2312"/>
          <w:b/>
          <w:sz w:val="32"/>
        </w:rPr>
        <w:t>与年初预算相比，</w:t>
      </w:r>
      <w:r>
        <w:rPr>
          <w:rFonts w:ascii="仿宋_GB2312" w:hAnsi="仿宋_GB2312" w:eastAsia="仿宋_GB2312"/>
          <w:b w:val="0"/>
          <w:sz w:val="32"/>
        </w:rPr>
        <w:t>年初预算数4,776.86万元，决算数8,412.67万元，预决算差异率76.11%，主要原因是：年中追加劳动密集型产业发展促进就业补助资金-克州润华纺织科技有限公司、申请政府补助资金等项目。</w:t>
      </w:r>
    </w:p>
    <w:p w14:paraId="56DE8675">
      <w:pPr>
        <w:spacing w:line="640" w:lineRule="exact"/>
        <w:ind w:firstLine="640"/>
        <w:jc w:val="both"/>
        <w:outlineLvl w:val="2"/>
      </w:pPr>
      <w:r>
        <w:rPr>
          <w:rFonts w:ascii="黑体" w:hAnsi="黑体" w:eastAsia="黑体"/>
          <w:sz w:val="32"/>
        </w:rPr>
        <w:t>五、一般公共预算财政拨款支出决算情况说明</w:t>
      </w:r>
    </w:p>
    <w:p w14:paraId="6D89D7F0">
      <w:pPr>
        <w:spacing w:line="640" w:lineRule="exact"/>
        <w:ind w:firstLine="640"/>
        <w:jc w:val="both"/>
        <w:outlineLvl w:val="3"/>
      </w:pPr>
      <w:r>
        <w:rPr>
          <w:rFonts w:ascii="楷体_GB2312" w:hAnsi="楷体_GB2312" w:eastAsia="楷体_GB2312"/>
          <w:b/>
          <w:sz w:val="32"/>
        </w:rPr>
        <w:t>（一）一般公共预算财政拨款支出决算总体情况</w:t>
      </w:r>
    </w:p>
    <w:p w14:paraId="0DB90F9E">
      <w:pPr>
        <w:spacing w:line="580" w:lineRule="exact"/>
        <w:ind w:firstLine="640"/>
        <w:jc w:val="both"/>
      </w:pPr>
      <w:r>
        <w:rPr>
          <w:rFonts w:ascii="仿宋_GB2312" w:hAnsi="仿宋_GB2312" w:eastAsia="仿宋_GB2312"/>
          <w:b/>
          <w:sz w:val="32"/>
        </w:rPr>
        <w:t>2024年度一般公共预算财政拨款支出5,395.81万元，</w:t>
      </w:r>
      <w:r>
        <w:rPr>
          <w:rFonts w:ascii="仿宋_GB2312" w:hAnsi="仿宋_GB2312" w:eastAsia="仿宋_GB2312"/>
          <w:b w:val="0"/>
          <w:sz w:val="32"/>
        </w:rPr>
        <w:t>占本年支出合计的49.78%。</w:t>
      </w:r>
      <w:r>
        <w:rPr>
          <w:rFonts w:ascii="仿宋_GB2312" w:hAnsi="仿宋_GB2312" w:eastAsia="仿宋_GB2312"/>
          <w:b/>
          <w:sz w:val="32"/>
        </w:rPr>
        <w:t>与上年相比，</w:t>
      </w:r>
      <w:r>
        <w:rPr>
          <w:rFonts w:ascii="仿宋_GB2312" w:hAnsi="仿宋_GB2312" w:eastAsia="仿宋_GB2312"/>
          <w:b w:val="0"/>
          <w:sz w:val="32"/>
        </w:rPr>
        <w:t>增加1,304.63万元，增长31.89%，主要原因是：本年增加2024年阿图什工业园区管理委员会基本运转维护经费项目、劳动密集型产业发展促进就业补助资金-克州润华纺织科技有限公司等项目资金。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年初预算数1,760.00万元，决算数5,395.81万元，预决算差异率206.58%，主要原因是：年中追加劳动密集型产业发展促进就业补助资金-克州润华纺织科技有限公司、申请政府补助资金等项目。</w:t>
      </w:r>
    </w:p>
    <w:p w14:paraId="4C7FA4E3">
      <w:pPr>
        <w:spacing w:line="640" w:lineRule="exact"/>
        <w:ind w:firstLine="640"/>
        <w:jc w:val="both"/>
        <w:outlineLvl w:val="3"/>
      </w:pPr>
      <w:r>
        <w:rPr>
          <w:rFonts w:ascii="楷体_GB2312" w:hAnsi="楷体_GB2312" w:eastAsia="楷体_GB2312"/>
          <w:b/>
          <w:sz w:val="32"/>
        </w:rPr>
        <w:t>（二）一般公共预算财政拨款支出决算结构情况</w:t>
      </w:r>
    </w:p>
    <w:p w14:paraId="080E3ED2">
      <w:pPr>
        <w:spacing w:line="580" w:lineRule="exact"/>
        <w:ind w:firstLine="640"/>
        <w:jc w:val="both"/>
      </w:pPr>
      <w:r>
        <w:rPr>
          <w:rFonts w:ascii="仿宋_GB2312" w:hAnsi="仿宋_GB2312" w:eastAsia="仿宋_GB2312"/>
          <w:b w:val="0"/>
          <w:sz w:val="32"/>
        </w:rPr>
        <w:t>1.一般公共服务支出(类)1,611.85万元</w:t>
      </w:r>
      <w:r>
        <w:rPr>
          <w:rFonts w:hint="eastAsia" w:ascii="仿宋_GB2312" w:hAnsi="仿宋_GB2312" w:eastAsia="仿宋_GB2312"/>
          <w:b w:val="0"/>
          <w:sz w:val="32"/>
          <w:lang w:eastAsia="zh-CN"/>
        </w:rPr>
        <w:t>，</w:t>
      </w:r>
      <w:r>
        <w:rPr>
          <w:rFonts w:ascii="仿宋_GB2312" w:hAnsi="仿宋_GB2312" w:eastAsia="仿宋_GB2312"/>
          <w:b w:val="0"/>
          <w:sz w:val="32"/>
        </w:rPr>
        <w:t>占29.87%。</w:t>
      </w:r>
    </w:p>
    <w:p w14:paraId="1FCD9125">
      <w:pPr>
        <w:spacing w:line="580" w:lineRule="exact"/>
        <w:ind w:firstLine="640"/>
        <w:jc w:val="both"/>
      </w:pPr>
      <w:r>
        <w:rPr>
          <w:rFonts w:ascii="仿宋_GB2312" w:hAnsi="仿宋_GB2312" w:eastAsia="仿宋_GB2312"/>
          <w:b w:val="0"/>
          <w:sz w:val="32"/>
        </w:rPr>
        <w:t>2.社会保障和就业支出(类)42.70万元</w:t>
      </w:r>
      <w:r>
        <w:rPr>
          <w:rFonts w:hint="eastAsia" w:ascii="仿宋_GB2312" w:hAnsi="仿宋_GB2312" w:eastAsia="仿宋_GB2312"/>
          <w:b w:val="0"/>
          <w:sz w:val="32"/>
          <w:lang w:eastAsia="zh-CN"/>
        </w:rPr>
        <w:t>，</w:t>
      </w:r>
      <w:r>
        <w:rPr>
          <w:rFonts w:ascii="仿宋_GB2312" w:hAnsi="仿宋_GB2312" w:eastAsia="仿宋_GB2312"/>
          <w:b w:val="0"/>
          <w:sz w:val="32"/>
        </w:rPr>
        <w:t>占0.79%。</w:t>
      </w:r>
    </w:p>
    <w:p w14:paraId="0CB28482">
      <w:pPr>
        <w:spacing w:line="580" w:lineRule="exact"/>
        <w:ind w:firstLine="640"/>
        <w:jc w:val="both"/>
      </w:pPr>
      <w:r>
        <w:rPr>
          <w:rFonts w:ascii="仿宋_GB2312" w:hAnsi="仿宋_GB2312" w:eastAsia="仿宋_GB2312"/>
          <w:b w:val="0"/>
          <w:sz w:val="32"/>
        </w:rPr>
        <w:t>3.卫生健康支出(类)11.59万元</w:t>
      </w:r>
      <w:r>
        <w:rPr>
          <w:rFonts w:hint="eastAsia" w:ascii="仿宋_GB2312" w:hAnsi="仿宋_GB2312" w:eastAsia="仿宋_GB2312"/>
          <w:b w:val="0"/>
          <w:sz w:val="32"/>
          <w:lang w:eastAsia="zh-CN"/>
        </w:rPr>
        <w:t>，</w:t>
      </w:r>
      <w:r>
        <w:rPr>
          <w:rFonts w:ascii="仿宋_GB2312" w:hAnsi="仿宋_GB2312" w:eastAsia="仿宋_GB2312"/>
          <w:b w:val="0"/>
          <w:sz w:val="32"/>
        </w:rPr>
        <w:t>占0.21%。</w:t>
      </w:r>
    </w:p>
    <w:p w14:paraId="65B353CB">
      <w:pPr>
        <w:spacing w:line="580" w:lineRule="exact"/>
        <w:ind w:firstLine="640"/>
        <w:jc w:val="both"/>
      </w:pPr>
      <w:r>
        <w:rPr>
          <w:rFonts w:ascii="仿宋_GB2312" w:hAnsi="仿宋_GB2312" w:eastAsia="仿宋_GB2312"/>
          <w:b w:val="0"/>
          <w:sz w:val="32"/>
        </w:rPr>
        <w:t>4.资源勘探工业信息等支出(类)3,700.00万元</w:t>
      </w:r>
      <w:r>
        <w:rPr>
          <w:rFonts w:hint="eastAsia" w:ascii="仿宋_GB2312" w:hAnsi="仿宋_GB2312" w:eastAsia="仿宋_GB2312"/>
          <w:b w:val="0"/>
          <w:sz w:val="32"/>
          <w:lang w:eastAsia="zh-CN"/>
        </w:rPr>
        <w:t>，</w:t>
      </w:r>
      <w:r>
        <w:rPr>
          <w:rFonts w:ascii="仿宋_GB2312" w:hAnsi="仿宋_GB2312" w:eastAsia="仿宋_GB2312"/>
          <w:b w:val="0"/>
          <w:sz w:val="32"/>
        </w:rPr>
        <w:t>占68.57%。</w:t>
      </w:r>
    </w:p>
    <w:p w14:paraId="0DDC80B0">
      <w:pPr>
        <w:spacing w:line="580" w:lineRule="exact"/>
        <w:ind w:firstLine="640"/>
        <w:jc w:val="both"/>
      </w:pPr>
      <w:r>
        <w:rPr>
          <w:rFonts w:ascii="仿宋_GB2312" w:hAnsi="仿宋_GB2312" w:eastAsia="仿宋_GB2312"/>
          <w:b w:val="0"/>
          <w:sz w:val="32"/>
        </w:rPr>
        <w:t>5.住房保障支出(类)29.66万元</w:t>
      </w:r>
      <w:r>
        <w:rPr>
          <w:rFonts w:hint="eastAsia" w:ascii="仿宋_GB2312" w:hAnsi="仿宋_GB2312" w:eastAsia="仿宋_GB2312"/>
          <w:b w:val="0"/>
          <w:sz w:val="32"/>
          <w:lang w:eastAsia="zh-CN"/>
        </w:rPr>
        <w:t>，</w:t>
      </w:r>
      <w:r>
        <w:rPr>
          <w:rFonts w:ascii="仿宋_GB2312" w:hAnsi="仿宋_GB2312" w:eastAsia="仿宋_GB2312"/>
          <w:b w:val="0"/>
          <w:sz w:val="32"/>
        </w:rPr>
        <w:t>占0.55%。</w:t>
      </w:r>
    </w:p>
    <w:p w14:paraId="199E1703">
      <w:pPr>
        <w:spacing w:line="640" w:lineRule="exact"/>
        <w:ind w:firstLine="640"/>
        <w:jc w:val="both"/>
        <w:outlineLvl w:val="3"/>
      </w:pPr>
      <w:r>
        <w:rPr>
          <w:rFonts w:ascii="楷体_GB2312" w:hAnsi="楷体_GB2312" w:eastAsia="楷体_GB2312"/>
          <w:b/>
          <w:sz w:val="32"/>
        </w:rPr>
        <w:t>（三）一般公共预算财政拨款支出决算具体情况</w:t>
      </w:r>
    </w:p>
    <w:p w14:paraId="349C0C70">
      <w:pPr>
        <w:spacing w:line="580" w:lineRule="exact"/>
        <w:ind w:firstLine="640"/>
        <w:jc w:val="both"/>
      </w:pPr>
      <w:r>
        <w:rPr>
          <w:rFonts w:ascii="仿宋_GB2312" w:hAnsi="仿宋_GB2312" w:eastAsia="仿宋_GB2312"/>
          <w:b w:val="0"/>
          <w:sz w:val="32"/>
        </w:rPr>
        <w:t>1.一般公共服务支出(类)发展与改革事务(款)其他发展与改革事务支出(项)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支出决算数为17.19万元，比上年决算减少22.81万元，下降57.02%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主要原因是：本年减少克州阿图什昆山产业园综合配套设施建设项目修建性详细规划、初步设计及施工图设计采购项目。</w:t>
      </w:r>
    </w:p>
    <w:p w14:paraId="31696BF1">
      <w:pPr>
        <w:spacing w:line="580" w:lineRule="exact"/>
        <w:ind w:firstLine="640"/>
        <w:jc w:val="both"/>
      </w:pPr>
      <w:r>
        <w:rPr>
          <w:rFonts w:ascii="仿宋_GB2312" w:hAnsi="仿宋_GB2312" w:eastAsia="仿宋_GB2312"/>
          <w:b w:val="0"/>
          <w:sz w:val="32"/>
        </w:rPr>
        <w:t>2.一般公共服务支出(类)商贸事务(款)招商引资(项)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支出决算数为1,593.66万元，比上年决算减少809.45万元，下降33.68%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主要原因是：本年减少阿图什工业园区管理委员会基本运转维护经费项目。</w:t>
      </w:r>
    </w:p>
    <w:p w14:paraId="2F8466B8">
      <w:pPr>
        <w:spacing w:line="580" w:lineRule="exact"/>
        <w:ind w:firstLine="640"/>
        <w:jc w:val="both"/>
      </w:pPr>
      <w:r>
        <w:rPr>
          <w:rFonts w:ascii="仿宋_GB2312" w:hAnsi="仿宋_GB2312" w:eastAsia="仿宋_GB2312"/>
          <w:b w:val="0"/>
          <w:sz w:val="32"/>
        </w:rPr>
        <w:t>3.一般公共服务支出(类)组织事务(款)其他组织事务支出(项)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支出决算数为1.00万元，比上年决算减少2.40万元，下降70.59%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主要原因是：本年第一书记工作经费支出减少。</w:t>
      </w:r>
    </w:p>
    <w:p w14:paraId="32481D08">
      <w:pPr>
        <w:spacing w:line="580" w:lineRule="exact"/>
        <w:ind w:firstLine="640"/>
        <w:jc w:val="both"/>
      </w:pPr>
      <w:r>
        <w:rPr>
          <w:rFonts w:ascii="仿宋_GB2312" w:hAnsi="仿宋_GB2312" w:eastAsia="仿宋_GB2312"/>
          <w:b w:val="0"/>
          <w:sz w:val="32"/>
        </w:rPr>
        <w:t>4.社会保障和就业支出(类)行政事业单位养老支出(款)行政单位离退休(项)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支出决算数为1.02万元，比上年决算增加0.53万元，增长108.16%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32D6B73C">
      <w:pPr>
        <w:spacing w:line="580" w:lineRule="exact"/>
        <w:ind w:firstLine="640"/>
        <w:jc w:val="both"/>
      </w:pPr>
      <w:r>
        <w:rPr>
          <w:rFonts w:ascii="仿宋_GB2312" w:hAnsi="仿宋_GB2312" w:eastAsia="仿宋_GB2312"/>
          <w:b w:val="0"/>
          <w:sz w:val="32"/>
        </w:rPr>
        <w:t>5.社会保障和就业支出(类)行政事业单位养老支出(款)事业单位离退休(项)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支出决算数为2.27万元，比上年决算减少0.28万元，下降10.98%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主要原因是：本年退休人员自然减员，事业单位离退休经费较上年减少。</w:t>
      </w:r>
    </w:p>
    <w:p w14:paraId="16AD8987">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支出决算数为36.57万元，比上年决算增加8.46万元，增长30.10%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主要原因是：本年在职人员增加，养老保险缴费较上年增加。</w:t>
      </w:r>
    </w:p>
    <w:p w14:paraId="7F26D4B8">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支出决算数为2.83万元，比上年决算增加2.83万元，增长100.00%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主要原因是：本年新增退休人员，职业年金缴费支出增加。</w:t>
      </w:r>
    </w:p>
    <w:p w14:paraId="03452432">
      <w:pPr>
        <w:spacing w:line="580" w:lineRule="exact"/>
        <w:ind w:firstLine="640"/>
        <w:jc w:val="both"/>
      </w:pPr>
      <w:r>
        <w:rPr>
          <w:rFonts w:ascii="仿宋_GB2312" w:hAnsi="仿宋_GB2312" w:eastAsia="仿宋_GB2312"/>
          <w:b w:val="0"/>
          <w:sz w:val="32"/>
        </w:rPr>
        <w:t>8.卫生健康支出(类)行政事业单位医疗(款)行政单位医疗(项)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支出决算数为0.77万元，比上年决算增加0.00万元，增长0.00%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主要原因是：本年在职人员行政单位医疗保险缴费与上年一致，无变化。</w:t>
      </w:r>
    </w:p>
    <w:p w14:paraId="53ADF3A9">
      <w:pPr>
        <w:spacing w:line="580" w:lineRule="exact"/>
        <w:ind w:firstLine="640"/>
        <w:jc w:val="both"/>
      </w:pPr>
      <w:r>
        <w:rPr>
          <w:rFonts w:ascii="仿宋_GB2312" w:hAnsi="仿宋_GB2312" w:eastAsia="仿宋_GB2312"/>
          <w:b w:val="0"/>
          <w:sz w:val="32"/>
        </w:rPr>
        <w:t>9.卫生健康支出(类)行政事业单位医疗(款)事业单位医疗(项)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支出决算数为10.82万元，比上年决算增加2.50万元，增长30.05%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14:paraId="46C4948A">
      <w:pPr>
        <w:spacing w:line="580" w:lineRule="exact"/>
        <w:ind w:firstLine="640"/>
        <w:jc w:val="both"/>
      </w:pPr>
      <w:r>
        <w:rPr>
          <w:rFonts w:ascii="仿宋_GB2312" w:hAnsi="仿宋_GB2312" w:eastAsia="仿宋_GB2312"/>
          <w:b w:val="0"/>
          <w:sz w:val="32"/>
        </w:rPr>
        <w:t>10.城乡社区支出(类)城乡社区公共设施(款)其他城乡社区公共设施支出(项)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支出决算数为0.00万元，比上年决算减少213.38万元，下降100.00%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主要原因是：本年减少支付克州阿图什市工业园区基础设施改造提升建设项目前期费。</w:t>
      </w:r>
    </w:p>
    <w:p w14:paraId="02F49582">
      <w:pPr>
        <w:spacing w:line="580" w:lineRule="exact"/>
        <w:ind w:firstLine="640"/>
        <w:jc w:val="both"/>
      </w:pPr>
      <w:r>
        <w:rPr>
          <w:rFonts w:ascii="仿宋_GB2312" w:hAnsi="仿宋_GB2312" w:eastAsia="仿宋_GB2312"/>
          <w:b w:val="0"/>
          <w:sz w:val="32"/>
        </w:rPr>
        <w:t>11.资源勘探工业信息等支出(类)工业和信息产业监管(款)产业发展(项)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支出决算数为3,700.00万元，比上年决算增加2,399.18万元，增长184.44%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主要原因是：本年增加劳动密集型产业发展促进就业补助资金-克州润华纺织科技有限公司、政府补助资金项目等。</w:t>
      </w:r>
    </w:p>
    <w:p w14:paraId="5BE55F4A">
      <w:pPr>
        <w:spacing w:line="580" w:lineRule="exact"/>
        <w:ind w:firstLine="640"/>
        <w:jc w:val="both"/>
      </w:pPr>
      <w:r>
        <w:rPr>
          <w:rFonts w:ascii="仿宋_GB2312" w:hAnsi="仿宋_GB2312" w:eastAsia="仿宋_GB2312"/>
          <w:b w:val="0"/>
          <w:sz w:val="32"/>
        </w:rPr>
        <w:t>12.资源勘探工业信息等支出(类)支持中小企业发展和管理</w:t>
      </w:r>
      <w:bookmarkStart w:id="0" w:name="_GoBack"/>
      <w:bookmarkEnd w:id="0"/>
      <w:r>
        <w:rPr>
          <w:rFonts w:ascii="仿宋_GB2312" w:hAnsi="仿宋_GB2312" w:eastAsia="仿宋_GB2312"/>
          <w:b w:val="0"/>
          <w:sz w:val="32"/>
        </w:rPr>
        <w:t>支出(款)中小企业发展专项(项)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支出决算数为0.00万元，比上年决算减少66.00万元，下降100.00%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主要原因是：本年减少阿图什市服装服饰小微产业园区污水处理厂中水回用工程经费。</w:t>
      </w:r>
    </w:p>
    <w:p w14:paraId="6845451B">
      <w:pPr>
        <w:spacing w:line="580" w:lineRule="exact"/>
        <w:ind w:firstLine="640"/>
        <w:jc w:val="both"/>
      </w:pPr>
      <w:r>
        <w:rPr>
          <w:rFonts w:ascii="仿宋_GB2312" w:hAnsi="仿宋_GB2312" w:eastAsia="仿宋_GB2312"/>
          <w:b w:val="0"/>
          <w:sz w:val="32"/>
        </w:rPr>
        <w:t>13.住房保障支出(类)住房改革支出(款)住房公积金(项)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支出决算数为29.66万元，比上年决算增加5.45万元，增长22.51%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14:paraId="08491DF7">
      <w:pPr>
        <w:spacing w:line="640" w:lineRule="exact"/>
        <w:ind w:firstLine="640"/>
        <w:jc w:val="both"/>
        <w:outlineLvl w:val="2"/>
      </w:pPr>
      <w:r>
        <w:rPr>
          <w:rFonts w:ascii="黑体" w:hAnsi="黑体" w:eastAsia="黑体"/>
          <w:sz w:val="32"/>
        </w:rPr>
        <w:t>六、一般公共预算财政拨款基本支出决算情况说明</w:t>
      </w:r>
    </w:p>
    <w:p w14:paraId="2261E94F">
      <w:pPr>
        <w:spacing w:line="580" w:lineRule="exact"/>
        <w:ind w:firstLine="640"/>
        <w:jc w:val="both"/>
      </w:pPr>
      <w:r>
        <w:rPr>
          <w:rFonts w:ascii="仿宋_GB2312" w:hAnsi="仿宋_GB2312" w:eastAsia="仿宋_GB2312"/>
          <w:b w:val="0"/>
          <w:sz w:val="32"/>
        </w:rPr>
        <w:t>2024年度一般公共预算财政拨款基本支出376.10万元，其中：</w:t>
      </w:r>
      <w:r>
        <w:rPr>
          <w:rFonts w:ascii="仿宋_GB2312" w:hAnsi="仿宋_GB2312" w:eastAsia="仿宋_GB2312"/>
          <w:b/>
          <w:sz w:val="32"/>
        </w:rPr>
        <w:t>人员经费356.29万元，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3B28CCBC">
      <w:pPr>
        <w:spacing w:line="580" w:lineRule="exact"/>
        <w:ind w:firstLine="640"/>
        <w:jc w:val="both"/>
      </w:pPr>
      <w:r>
        <w:rPr>
          <w:rFonts w:ascii="仿宋_GB2312" w:hAnsi="仿宋_GB2312" w:eastAsia="仿宋_GB2312"/>
          <w:b/>
          <w:sz w:val="32"/>
        </w:rPr>
        <w:t>公用经费19.81万元，</w:t>
      </w:r>
      <w:r>
        <w:rPr>
          <w:rFonts w:ascii="仿宋_GB2312" w:hAnsi="仿宋_GB2312" w:eastAsia="仿宋_GB2312"/>
          <w:b w:val="0"/>
          <w:sz w:val="32"/>
        </w:rPr>
        <w:t>包括：办公费、水费、电费、取暖费、差旅费、公务用车运行维护费、其他商品和服务支出。</w:t>
      </w:r>
    </w:p>
    <w:p w14:paraId="190DD9D5">
      <w:pPr>
        <w:spacing w:line="640" w:lineRule="exact"/>
        <w:ind w:firstLine="640"/>
        <w:jc w:val="both"/>
        <w:outlineLvl w:val="2"/>
      </w:pPr>
      <w:r>
        <w:rPr>
          <w:rFonts w:ascii="黑体" w:hAnsi="黑体" w:eastAsia="黑体"/>
          <w:sz w:val="32"/>
        </w:rPr>
        <w:t>七、政府性基金预算财政拨款收入支出决算情况说明</w:t>
      </w:r>
    </w:p>
    <w:p w14:paraId="28D631B5">
      <w:pPr>
        <w:spacing w:line="580" w:lineRule="exact"/>
        <w:ind w:firstLine="640"/>
        <w:jc w:val="both"/>
      </w:pPr>
      <w:r>
        <w:rPr>
          <w:rFonts w:ascii="仿宋_GB2312" w:hAnsi="仿宋_GB2312" w:eastAsia="仿宋_GB2312"/>
          <w:b/>
          <w:sz w:val="32"/>
        </w:rPr>
        <w:t>2024年度政府性基金预算财政拨款收入总计3,016.86万元，</w:t>
      </w:r>
      <w:r>
        <w:rPr>
          <w:rFonts w:ascii="仿宋_GB2312" w:hAnsi="仿宋_GB2312" w:eastAsia="仿宋_GB2312"/>
          <w:b w:val="0"/>
          <w:sz w:val="32"/>
        </w:rPr>
        <w:t>其中：年初结转和结余0.00万元，本年收入3,016.86万元。</w:t>
      </w:r>
      <w:r>
        <w:rPr>
          <w:rFonts w:ascii="仿宋_GB2312" w:hAnsi="仿宋_GB2312" w:eastAsia="仿宋_GB2312"/>
          <w:b/>
          <w:sz w:val="32"/>
        </w:rPr>
        <w:t>政府性基金预算财政拨款支出总计3,016.86万元，</w:t>
      </w:r>
      <w:r>
        <w:rPr>
          <w:rFonts w:ascii="仿宋_GB2312" w:hAnsi="仿宋_GB2312" w:eastAsia="仿宋_GB2312"/>
          <w:b w:val="0"/>
          <w:sz w:val="32"/>
        </w:rPr>
        <w:t>其中：年末结转和结余0.00万元，本年支出3,016.86万元。</w:t>
      </w:r>
    </w:p>
    <w:p w14:paraId="455CE48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减少9,966.28万元，下降76.76%，主要原因是：本年减少重工业园区停车场、昆山产业园综合配套及一园四区二期。</w:t>
      </w:r>
      <w:r>
        <w:rPr>
          <w:rFonts w:ascii="仿宋_GB2312" w:hAnsi="仿宋_GB2312" w:eastAsia="仿宋_GB2312"/>
          <w:b/>
          <w:sz w:val="32"/>
        </w:rPr>
        <w:t>与年初预算相比，</w:t>
      </w:r>
      <w:r>
        <w:rPr>
          <w:rFonts w:ascii="仿宋_GB2312" w:hAnsi="仿宋_GB2312" w:eastAsia="仿宋_GB2312"/>
          <w:b w:val="0"/>
          <w:sz w:val="32"/>
        </w:rPr>
        <w:t>年初预算数3,016.86万元，决算数3,016.86万元，预决算差异率0.00%，主要原因是：严格按照预算执行，预决算无差异。</w:t>
      </w:r>
    </w:p>
    <w:p w14:paraId="5F5F0840">
      <w:pPr>
        <w:spacing w:line="580" w:lineRule="exact"/>
        <w:ind w:firstLine="640"/>
        <w:jc w:val="both"/>
      </w:pPr>
      <w:r>
        <w:rPr>
          <w:rFonts w:ascii="仿宋_GB2312" w:hAnsi="仿宋_GB2312" w:eastAsia="仿宋_GB2312"/>
          <w:b w:val="0"/>
          <w:sz w:val="32"/>
        </w:rPr>
        <w:t>政府性基金预算财政拨款支出3,016.86万元。</w:t>
      </w:r>
    </w:p>
    <w:p w14:paraId="669CB12C">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支出决算数为3,016.86万元，比上年决算减少9,966.28万元，下降76.76%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主要原因是：本年减少重工业园区停车场、昆山产业园综合配套及一园四区二期。</w:t>
      </w:r>
    </w:p>
    <w:p w14:paraId="407DAD3B">
      <w:pPr>
        <w:spacing w:line="640" w:lineRule="exact"/>
        <w:ind w:firstLine="640"/>
        <w:jc w:val="both"/>
        <w:outlineLvl w:val="2"/>
      </w:pPr>
      <w:r>
        <w:rPr>
          <w:rFonts w:ascii="黑体" w:hAnsi="黑体" w:eastAsia="黑体"/>
          <w:sz w:val="32"/>
        </w:rPr>
        <w:t>八、国有资本经营预算财政拨款收入支出决算情况说明</w:t>
      </w:r>
    </w:p>
    <w:p w14:paraId="741B767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CF8ED2B">
      <w:pPr>
        <w:spacing w:line="640" w:lineRule="exact"/>
        <w:ind w:firstLine="640"/>
        <w:jc w:val="both"/>
        <w:outlineLvl w:val="2"/>
      </w:pPr>
      <w:r>
        <w:rPr>
          <w:rFonts w:ascii="黑体" w:hAnsi="黑体" w:eastAsia="黑体"/>
          <w:sz w:val="32"/>
        </w:rPr>
        <w:t>九、财政拨款“三公”经费支出决算情况说明</w:t>
      </w:r>
    </w:p>
    <w:p w14:paraId="791E6FF6">
      <w:pPr>
        <w:spacing w:line="580" w:lineRule="exact"/>
        <w:ind w:firstLine="640"/>
        <w:jc w:val="both"/>
      </w:pPr>
      <w:r>
        <w:rPr>
          <w:rFonts w:ascii="仿宋_GB2312" w:hAnsi="仿宋_GB2312" w:eastAsia="仿宋_GB2312"/>
          <w:b/>
          <w:sz w:val="32"/>
        </w:rPr>
        <w:t>2024年度财政拨款“三公”经费支出1.87万元，</w:t>
      </w:r>
      <w:r>
        <w:rPr>
          <w:rFonts w:ascii="仿宋_GB2312" w:hAnsi="仿宋_GB2312" w:eastAsia="仿宋_GB2312"/>
          <w:b w:val="0"/>
          <w:sz w:val="32"/>
        </w:rPr>
        <w:t>比上年减少0.53万元，下降22.08%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1.87万元，占100.00%，比上年减少0.53万元，下降22.08%，主要原因是：严格落实中央八项规定精神，厉行节约，减少公务用车运行维护费。公务接待费支出0.00万元，占0.00%，比上年增加0.00万元，增长0.00%，主要原因是：2023年与2024年均未安排公务接待费支出。</w:t>
      </w:r>
    </w:p>
    <w:p w14:paraId="5DE1679A">
      <w:pPr>
        <w:spacing w:line="580" w:lineRule="exact"/>
        <w:ind w:firstLine="640"/>
        <w:jc w:val="both"/>
      </w:pPr>
      <w:r>
        <w:rPr>
          <w:rFonts w:ascii="仿宋_GB2312" w:hAnsi="仿宋_GB2312" w:eastAsia="仿宋_GB2312"/>
          <w:b/>
          <w:sz w:val="32"/>
        </w:rPr>
        <w:t>具体情况如下：</w:t>
      </w:r>
    </w:p>
    <w:p w14:paraId="1E05867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ED86919">
      <w:pPr>
        <w:spacing w:line="580" w:lineRule="exact"/>
        <w:ind w:firstLine="640"/>
        <w:jc w:val="both"/>
      </w:pPr>
      <w:r>
        <w:rPr>
          <w:rFonts w:ascii="仿宋_GB2312" w:hAnsi="仿宋_GB2312" w:eastAsia="仿宋_GB2312"/>
          <w:b w:val="0"/>
          <w:sz w:val="32"/>
        </w:rPr>
        <w:t>公务用车购置及运行维护费1.87万元，其中：公务用车购置费0.00万元，公务用车运行维护费1.87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14:paraId="10CF381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1E9B7F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1.87万元，决算数1.87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1.87万元，决算数1.87万元，预决算差异率0.00%，主要原因是：严格按照预算执行，预决算无差异。公务接待费全年预算数0.00万元，决算数0.00万元，预决算差异率0.00%，主要原因是：本单位无公务接待费。</w:t>
      </w:r>
    </w:p>
    <w:p w14:paraId="01B15575">
      <w:pPr>
        <w:spacing w:line="640" w:lineRule="exact"/>
        <w:ind w:firstLine="640"/>
        <w:jc w:val="both"/>
        <w:outlineLvl w:val="2"/>
      </w:pPr>
      <w:r>
        <w:rPr>
          <w:rFonts w:ascii="黑体" w:hAnsi="黑体" w:eastAsia="黑体"/>
          <w:sz w:val="32"/>
        </w:rPr>
        <w:t>十、其他重要事项的情况说明</w:t>
      </w:r>
    </w:p>
    <w:p w14:paraId="002955CE">
      <w:pPr>
        <w:spacing w:line="640" w:lineRule="exact"/>
        <w:ind w:firstLine="640"/>
        <w:jc w:val="both"/>
        <w:outlineLvl w:val="3"/>
      </w:pPr>
      <w:r>
        <w:rPr>
          <w:rFonts w:ascii="楷体_GB2312" w:hAnsi="楷体_GB2312" w:eastAsia="楷体_GB2312"/>
          <w:b/>
          <w:sz w:val="32"/>
        </w:rPr>
        <w:t>（一）机关运行经费及公用经费支出情况</w:t>
      </w:r>
    </w:p>
    <w:p w14:paraId="5EDC77EB">
      <w:pPr>
        <w:spacing w:line="580" w:lineRule="exact"/>
        <w:ind w:firstLine="640"/>
        <w:jc w:val="both"/>
      </w:pPr>
      <w:r>
        <w:rPr>
          <w:rFonts w:ascii="仿宋_GB2312" w:hAnsi="仿宋_GB2312" w:eastAsia="仿宋_GB2312"/>
          <w:b w:val="0"/>
          <w:sz w:val="32"/>
        </w:rPr>
        <w:t>2024年度阿图什工业园区管理委员会（事业单位）公用经费支出19.81万元，比上年减少2,150.46万元，下降99.09%，主要原因是：本年阿图什工业园区管理委员会基本运转维护经费、服装服饰小微产业园标准化厂房项目</w:t>
      </w:r>
      <w:r>
        <w:rPr>
          <w:rFonts w:hint="eastAsia" w:ascii="仿宋_GB2312" w:hAnsi="仿宋_GB2312" w:eastAsia="仿宋_GB2312"/>
          <w:b w:val="0"/>
          <w:sz w:val="32"/>
          <w:lang w:eastAsia="zh-CN"/>
        </w:rPr>
        <w:t>－</w:t>
      </w:r>
      <w:r>
        <w:rPr>
          <w:rFonts w:ascii="仿宋_GB2312" w:hAnsi="仿宋_GB2312" w:eastAsia="仿宋_GB2312"/>
          <w:b w:val="0"/>
          <w:sz w:val="32"/>
        </w:rPr>
        <w:t>监理费列入项目支出，相关公用经费减少。</w:t>
      </w:r>
    </w:p>
    <w:p w14:paraId="664C7255">
      <w:pPr>
        <w:spacing w:line="640" w:lineRule="exact"/>
        <w:ind w:firstLine="640"/>
        <w:jc w:val="both"/>
        <w:outlineLvl w:val="3"/>
      </w:pPr>
      <w:r>
        <w:rPr>
          <w:rFonts w:ascii="楷体_GB2312" w:hAnsi="楷体_GB2312" w:eastAsia="楷体_GB2312"/>
          <w:b/>
          <w:sz w:val="32"/>
        </w:rPr>
        <w:t>（二）政府采购情况</w:t>
      </w:r>
    </w:p>
    <w:p w14:paraId="137C8441">
      <w:pPr>
        <w:spacing w:line="580" w:lineRule="exact"/>
        <w:ind w:firstLine="640"/>
        <w:jc w:val="both"/>
      </w:pPr>
      <w:r>
        <w:rPr>
          <w:rFonts w:ascii="仿宋_GB2312" w:hAnsi="仿宋_GB2312" w:eastAsia="仿宋_GB2312"/>
          <w:b w:val="0"/>
          <w:sz w:val="32"/>
        </w:rPr>
        <w:t>2024年度政府采购支出总额139.28万元，其中：政府采购货物支出17.72万元、政府采购工程支出0.00万元、政府采购服务支出121.55万元。</w:t>
      </w:r>
    </w:p>
    <w:p w14:paraId="7B2C9A05">
      <w:pPr>
        <w:spacing w:line="580" w:lineRule="exact"/>
        <w:ind w:firstLine="640"/>
        <w:jc w:val="both"/>
      </w:pPr>
      <w:r>
        <w:rPr>
          <w:rFonts w:ascii="仿宋_GB2312" w:hAnsi="仿宋_GB2312" w:eastAsia="仿宋_GB2312"/>
          <w:b w:val="0"/>
          <w:sz w:val="32"/>
        </w:rPr>
        <w:t>授予中小企业合同金额127.69万元，占政府采购支出总额的91.68%，其中：授予小微企业合同金额127.69万元，占政府采购支出总额的91.68%。</w:t>
      </w:r>
    </w:p>
    <w:p w14:paraId="4B24CD26">
      <w:pPr>
        <w:spacing w:line="640" w:lineRule="exact"/>
        <w:ind w:firstLine="640"/>
        <w:jc w:val="both"/>
        <w:outlineLvl w:val="3"/>
      </w:pPr>
      <w:r>
        <w:rPr>
          <w:rFonts w:ascii="楷体_GB2312" w:hAnsi="楷体_GB2312" w:eastAsia="楷体_GB2312"/>
          <w:b/>
          <w:sz w:val="32"/>
        </w:rPr>
        <w:t>（三）国有资产占用情况说明</w:t>
      </w:r>
    </w:p>
    <w:p w14:paraId="5CF42CBB">
      <w:pPr>
        <w:spacing w:line="580" w:lineRule="exact"/>
        <w:ind w:firstLine="640"/>
        <w:jc w:val="both"/>
      </w:pPr>
      <w:r>
        <w:rPr>
          <w:rFonts w:ascii="仿宋_GB2312" w:hAnsi="仿宋_GB2312" w:eastAsia="仿宋_GB2312"/>
          <w:b w:val="0"/>
          <w:sz w:val="32"/>
        </w:rPr>
        <w:t>截至2024年12月31日，房屋19,728,924.46平方米，价值51,671.08万元。车辆4辆，价值102.08万元，其中：副部（省）级及以上领导用车0辆、主要负责人用车0辆、机要通信用车0辆、应急保障用车0辆、执法执勤用车0辆、特种专业技术用车0辆、离退休干部服务用车0辆、其他用车4辆，其他用车主要是：一般公务用车，垃圾车，喷洒车。单价100万元（含）以上设备（不含车辆）6台（套）。</w:t>
      </w:r>
    </w:p>
    <w:p w14:paraId="50A01AF5">
      <w:pPr>
        <w:spacing w:line="640" w:lineRule="exact"/>
        <w:ind w:firstLine="640"/>
        <w:jc w:val="both"/>
        <w:outlineLvl w:val="2"/>
      </w:pPr>
      <w:r>
        <w:rPr>
          <w:rFonts w:ascii="黑体" w:hAnsi="黑体" w:eastAsia="黑体"/>
          <w:sz w:val="32"/>
        </w:rPr>
        <w:t>十一、预算绩效的情况说明</w:t>
      </w:r>
    </w:p>
    <w:p w14:paraId="3ECE5B5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11,391.31万元，实际执行总额10,838.50万元；预算绩效评价项目2个，全年预算数1,222.00万元，全年执行数1,123.03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19D6391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4DFA5A1">
        <w:tc>
          <w:tcPr>
            <w:tcW w:w="8840" w:type="dxa"/>
            <w:gridSpan w:val="8"/>
            <w:vAlign w:val="center"/>
          </w:tcPr>
          <w:p w14:paraId="5D4A527D">
            <w:pPr>
              <w:jc w:val="center"/>
            </w:pPr>
            <w:r>
              <w:rPr>
                <w:rFonts w:ascii="宋体" w:hAnsi="宋体" w:eastAsia="宋体"/>
                <w:sz w:val="24"/>
              </w:rPr>
              <w:t>单位整体支出绩效自评表</w:t>
            </w:r>
          </w:p>
        </w:tc>
      </w:tr>
      <w:tr w14:paraId="74BC7CE9">
        <w:tblPrEx>
          <w:tblCellMar>
            <w:top w:w="0" w:type="dxa"/>
            <w:left w:w="108" w:type="dxa"/>
            <w:bottom w:w="0" w:type="dxa"/>
            <w:right w:w="108" w:type="dxa"/>
          </w:tblCellMar>
        </w:tblPrEx>
        <w:tc>
          <w:tcPr>
            <w:tcW w:w="8840" w:type="dxa"/>
            <w:gridSpan w:val="8"/>
            <w:vAlign w:val="center"/>
          </w:tcPr>
          <w:p w14:paraId="081AC3C5">
            <w:pPr>
              <w:jc w:val="center"/>
            </w:pPr>
            <w:r>
              <w:rPr>
                <w:rFonts w:ascii="宋体" w:hAnsi="宋体" w:eastAsia="宋体"/>
                <w:sz w:val="24"/>
              </w:rPr>
              <w:t>（2024年度）</w:t>
            </w:r>
          </w:p>
        </w:tc>
      </w:tr>
      <w:tr w14:paraId="311040C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63B5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C80D6B">
            <w:pPr>
              <w:jc w:val="center"/>
            </w:pPr>
            <w:r>
              <w:rPr>
                <w:rFonts w:ascii="宋体" w:hAnsi="宋体" w:eastAsia="宋体"/>
                <w:sz w:val="16"/>
              </w:rPr>
              <w:t>阿图什工业园区管理委员会</w:t>
            </w:r>
          </w:p>
        </w:tc>
      </w:tr>
      <w:tr w14:paraId="6343D01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03961">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0DBD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5900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18CB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AD02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48571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7F1B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57459">
            <w:pPr>
              <w:jc w:val="center"/>
            </w:pPr>
            <w:r>
              <w:rPr>
                <w:rFonts w:ascii="宋体" w:hAnsi="宋体" w:eastAsia="宋体"/>
                <w:sz w:val="16"/>
              </w:rPr>
              <w:t>得分</w:t>
            </w:r>
          </w:p>
        </w:tc>
      </w:tr>
      <w:tr w14:paraId="75C569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D4A84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2696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9AE09">
            <w:pPr>
              <w:jc w:val="center"/>
            </w:pPr>
            <w:r>
              <w:rPr>
                <w:rFonts w:ascii="宋体" w:hAnsi="宋体" w:eastAsia="宋体"/>
                <w:sz w:val="16"/>
              </w:rPr>
              <w:t>1,617.71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E4676">
            <w:pPr>
              <w:jc w:val="center"/>
            </w:pPr>
            <w:r>
              <w:rPr>
                <w:rFonts w:ascii="宋体" w:hAnsi="宋体" w:eastAsia="宋体"/>
                <w:sz w:val="16"/>
              </w:rPr>
              <w:t>11,391.31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3CCEA2">
            <w:pPr>
              <w:jc w:val="center"/>
            </w:pPr>
            <w:r>
              <w:rPr>
                <w:rFonts w:ascii="宋体" w:hAnsi="宋体" w:eastAsia="宋体"/>
                <w:sz w:val="16"/>
              </w:rPr>
              <w:t>10,838.50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D62E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DC9A1">
            <w:pPr>
              <w:jc w:val="center"/>
            </w:pPr>
            <w:r>
              <w:rPr>
                <w:rFonts w:ascii="宋体" w:hAnsi="宋体" w:eastAsia="宋体"/>
                <w:sz w:val="16"/>
              </w:rPr>
              <w:t>95.15%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9D15A">
            <w:pPr>
              <w:jc w:val="center"/>
              <w:rPr>
                <w:rFonts w:hint="default" w:eastAsia="宋体"/>
                <w:lang w:val="en-US" w:eastAsia="zh-CN"/>
              </w:rPr>
            </w:pPr>
            <w:r>
              <w:rPr>
                <w:rFonts w:hint="eastAsia" w:ascii="宋体" w:hAnsi="宋体"/>
                <w:sz w:val="16"/>
                <w:lang w:val="en-US" w:eastAsia="zh-CN"/>
              </w:rPr>
              <w:t>9.51</w:t>
            </w:r>
          </w:p>
        </w:tc>
      </w:tr>
      <w:tr w14:paraId="263DD3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011C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A617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0CE9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EB81A">
            <w:pPr>
              <w:jc w:val="center"/>
            </w:pPr>
            <w:r>
              <w:rPr>
                <w:rFonts w:ascii="宋体" w:hAnsi="宋体" w:eastAsia="宋体"/>
                <w:sz w:val="16"/>
              </w:rPr>
              <w:t>18.19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8F895">
            <w:pPr>
              <w:jc w:val="center"/>
            </w:pPr>
            <w:r>
              <w:rPr>
                <w:rFonts w:ascii="宋体" w:hAnsi="宋体" w:eastAsia="宋体"/>
                <w:sz w:val="16"/>
              </w:rPr>
              <w:t>18.19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FC6D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3C4E9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AD55A">
            <w:pPr>
              <w:jc w:val="center"/>
            </w:pPr>
            <w:r>
              <w:rPr>
                <w:rFonts w:ascii="宋体" w:hAnsi="宋体" w:eastAsia="宋体"/>
                <w:sz w:val="16"/>
              </w:rPr>
              <w:t>—</w:t>
            </w:r>
          </w:p>
        </w:tc>
      </w:tr>
      <w:tr w14:paraId="43D14B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15E4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3FA0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D072B">
            <w:pPr>
              <w:jc w:val="center"/>
            </w:pPr>
            <w:r>
              <w:rPr>
                <w:rFonts w:ascii="宋体" w:hAnsi="宋体" w:eastAsia="宋体"/>
                <w:sz w:val="16"/>
              </w:rPr>
              <w:t>1,617.71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1FA41">
            <w:pPr>
              <w:jc w:val="center"/>
            </w:pPr>
            <w:r>
              <w:rPr>
                <w:rFonts w:ascii="宋体" w:hAnsi="宋体" w:eastAsia="宋体"/>
                <w:sz w:val="16"/>
              </w:rPr>
              <w:t>11,373.12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CF823">
            <w:pPr>
              <w:jc w:val="center"/>
            </w:pPr>
            <w:r>
              <w:rPr>
                <w:rFonts w:ascii="宋体" w:hAnsi="宋体" w:eastAsia="宋体"/>
                <w:sz w:val="16"/>
              </w:rPr>
              <w:t>10,820.31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75E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EFB7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527478">
            <w:pPr>
              <w:jc w:val="center"/>
            </w:pPr>
            <w:r>
              <w:rPr>
                <w:rFonts w:ascii="宋体" w:hAnsi="宋体" w:eastAsia="宋体"/>
                <w:sz w:val="16"/>
              </w:rPr>
              <w:t>—</w:t>
            </w:r>
          </w:p>
        </w:tc>
      </w:tr>
      <w:tr w14:paraId="787A5BD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1BC0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C6BD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48AE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5E52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4C37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251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F676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4430E">
            <w:pPr>
              <w:jc w:val="center"/>
            </w:pPr>
            <w:r>
              <w:rPr>
                <w:rFonts w:ascii="宋体" w:hAnsi="宋体" w:eastAsia="宋体"/>
                <w:sz w:val="16"/>
              </w:rPr>
              <w:t>—</w:t>
            </w:r>
          </w:p>
        </w:tc>
      </w:tr>
      <w:tr w14:paraId="3B4ED5E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B726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B4D77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9BB186">
            <w:pPr>
              <w:jc w:val="center"/>
            </w:pPr>
            <w:r>
              <w:rPr>
                <w:rFonts w:ascii="宋体" w:hAnsi="宋体" w:eastAsia="宋体"/>
                <w:sz w:val="16"/>
              </w:rPr>
              <w:t>实际完成情况</w:t>
            </w:r>
          </w:p>
        </w:tc>
      </w:tr>
      <w:tr w14:paraId="7D4012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C7F42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E911EA">
            <w:pPr>
              <w:jc w:val="both"/>
            </w:pPr>
            <w:r>
              <w:rPr>
                <w:rFonts w:ascii="宋体" w:hAnsi="宋体" w:eastAsia="宋体"/>
                <w:sz w:val="16"/>
              </w:rPr>
              <w:t>单位基本职能：园区经济社会发展计划，产业发展规划和建设规划</w:t>
            </w:r>
            <w:r>
              <w:rPr>
                <w:rFonts w:hint="eastAsia" w:ascii="宋体" w:hAnsi="宋体"/>
                <w:sz w:val="16"/>
                <w:lang w:eastAsia="zh-CN"/>
              </w:rPr>
              <w:t>；</w:t>
            </w:r>
            <w:r>
              <w:rPr>
                <w:rFonts w:ascii="宋体" w:hAnsi="宋体" w:eastAsia="宋体"/>
                <w:sz w:val="16"/>
              </w:rPr>
              <w:t>负责园区权限内各类投资项目的审批、核准和备案工作</w:t>
            </w:r>
            <w:r>
              <w:rPr>
                <w:rFonts w:hint="eastAsia" w:ascii="宋体" w:hAnsi="宋体"/>
                <w:sz w:val="16"/>
                <w:lang w:eastAsia="zh-CN"/>
              </w:rPr>
              <w:t>：</w:t>
            </w:r>
            <w:r>
              <w:rPr>
                <w:rFonts w:ascii="宋体" w:hAnsi="宋体" w:eastAsia="宋体"/>
                <w:sz w:val="16"/>
              </w:rPr>
              <w:t xml:space="preserve"> 负责园区的土地征收、出让、开发、建设和管理工作</w:t>
            </w:r>
            <w:r>
              <w:rPr>
                <w:rFonts w:hint="eastAsia" w:ascii="宋体" w:hAnsi="宋体"/>
                <w:sz w:val="16"/>
                <w:lang w:eastAsia="zh-CN"/>
              </w:rPr>
              <w:t>：</w:t>
            </w:r>
            <w:r>
              <w:rPr>
                <w:rFonts w:ascii="宋体" w:hAnsi="宋体" w:eastAsia="宋体"/>
                <w:sz w:val="16"/>
              </w:rPr>
              <w:t>负责园区各类公共基础设施和房产开发、市政及园区绿化等工作</w:t>
            </w:r>
            <w:r>
              <w:rPr>
                <w:rFonts w:hint="eastAsia" w:ascii="宋体" w:hAnsi="宋体"/>
                <w:sz w:val="16"/>
                <w:lang w:eastAsia="zh-CN"/>
              </w:rPr>
              <w:t>：</w:t>
            </w:r>
            <w:r>
              <w:rPr>
                <w:rFonts w:ascii="宋体" w:hAnsi="宋体" w:eastAsia="宋体"/>
                <w:sz w:val="16"/>
              </w:rPr>
              <w:t xml:space="preserve"> 社会事业发展和社会事务管理工作</w:t>
            </w:r>
            <w:r>
              <w:rPr>
                <w:rFonts w:hint="eastAsia" w:ascii="宋体" w:hAnsi="宋体"/>
                <w:sz w:val="16"/>
                <w:lang w:eastAsia="zh-CN"/>
              </w:rPr>
              <w:t>：</w:t>
            </w:r>
            <w:r>
              <w:rPr>
                <w:rFonts w:ascii="宋体" w:hAnsi="宋体" w:eastAsia="宋体"/>
                <w:sz w:val="16"/>
              </w:rPr>
              <w:t xml:space="preserve"> 负责全市招商引资、园区人才引进和对外经济技术合作工作。 </w:t>
            </w:r>
            <w:r>
              <w:rPr>
                <w:rFonts w:ascii="宋体" w:hAnsi="宋体" w:eastAsia="宋体"/>
                <w:sz w:val="16"/>
              </w:rPr>
              <w:br w:type="textWrapping"/>
            </w:r>
            <w:r>
              <w:rPr>
                <w:rFonts w:ascii="宋体" w:hAnsi="宋体" w:eastAsia="宋体"/>
                <w:sz w:val="16"/>
              </w:rPr>
              <w:t xml:space="preserve">机构设置及人员配置：无下属预算单位，下设11个科室，编制数28，实有人数19人，在职17人，退休2人。 </w:t>
            </w:r>
            <w:r>
              <w:rPr>
                <w:rFonts w:ascii="宋体" w:hAnsi="宋体" w:eastAsia="宋体"/>
                <w:sz w:val="16"/>
              </w:rPr>
              <w:br w:type="textWrapping"/>
            </w:r>
            <w:r>
              <w:rPr>
                <w:rFonts w:ascii="宋体" w:hAnsi="宋体" w:eastAsia="宋体"/>
                <w:sz w:val="16"/>
              </w:rPr>
              <w:t>中长期规划：2023年园区将紧紧围绕，完善基础设施建设、加大</w:t>
            </w:r>
            <w:r>
              <w:rPr>
                <w:rFonts w:hint="eastAsia" w:ascii="宋体" w:hAnsi="宋体"/>
                <w:sz w:val="16"/>
                <w:lang w:eastAsia="zh-CN"/>
              </w:rPr>
              <w:t>招</w:t>
            </w:r>
            <w:r>
              <w:rPr>
                <w:rFonts w:ascii="宋体" w:hAnsi="宋体" w:eastAsia="宋体"/>
                <w:sz w:val="16"/>
              </w:rPr>
              <w:t xml:space="preserve">商引资、培育壮大产业、提升服务企业和落实防控等“五个”方面重点工作推进落实，不断加快园区构建新发展格局，奋力推动园区经济高质量发展，帮助企业做大做强。 </w:t>
            </w:r>
            <w:r>
              <w:rPr>
                <w:rFonts w:ascii="宋体" w:hAnsi="宋体" w:eastAsia="宋体"/>
                <w:sz w:val="16"/>
              </w:rPr>
              <w:br w:type="textWrapping"/>
            </w:r>
            <w:r>
              <w:rPr>
                <w:rFonts w:ascii="宋体" w:hAnsi="宋体" w:eastAsia="宋体"/>
                <w:sz w:val="16"/>
              </w:rPr>
              <w:t xml:space="preserve">    保障单位在职17人，退休2人的工资福利及各项补助正常发放及部门正常运转；准确定位“一园四区”功能，错位发展、突出特色，精准谋划主导产业，培育优势产业集群，并做好园区服务，加快推进“飞地经济”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415D03">
            <w:pPr>
              <w:jc w:val="both"/>
            </w:pPr>
            <w:r>
              <w:rPr>
                <w:rFonts w:ascii="宋体" w:hAnsi="宋体" w:eastAsia="宋体"/>
                <w:sz w:val="16"/>
              </w:rPr>
              <w:t xml:space="preserve"> 本单位共计支出10838.5万元，用于保障单位在职17人，退休2人的工资福利、各项补助正常发放及部门单位正常运转，单位预算项目根据年初计划均已完成，达到了准确定位“一园四区”功能，错位发展、突出特色，精准谋划主导产业，培育优势产业集群，并做好园区服务，加快推进“飞地经济”发展，年度任务中完成安全隐患摸排检查企业114次，组织宣传环境保护工作12次，</w:t>
            </w:r>
            <w:r>
              <w:rPr>
                <w:rFonts w:hint="eastAsia" w:ascii="宋体" w:hAnsi="宋体"/>
                <w:sz w:val="16"/>
                <w:lang w:eastAsia="zh-CN"/>
              </w:rPr>
              <w:t>招</w:t>
            </w:r>
            <w:r>
              <w:rPr>
                <w:rFonts w:ascii="宋体" w:hAnsi="宋体" w:eastAsia="宋体"/>
                <w:sz w:val="16"/>
              </w:rPr>
              <w:t>商引资业务培训次数2次等目标。</w:t>
            </w:r>
          </w:p>
        </w:tc>
      </w:tr>
      <w:tr w14:paraId="7645650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580A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984E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1FF3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49E6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B436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7C5B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1616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35D03">
            <w:pPr>
              <w:jc w:val="center"/>
            </w:pPr>
            <w:r>
              <w:rPr>
                <w:rFonts w:ascii="宋体" w:hAnsi="宋体" w:eastAsia="宋体"/>
                <w:sz w:val="16"/>
              </w:rPr>
              <w:t>得分</w:t>
            </w:r>
          </w:p>
        </w:tc>
      </w:tr>
      <w:tr w14:paraId="3B860C1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32B21">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1657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6D37C">
            <w:pPr>
              <w:jc w:val="center"/>
            </w:pPr>
            <w:r>
              <w:rPr>
                <w:rFonts w:ascii="宋体" w:hAnsi="宋体" w:eastAsia="宋体"/>
                <w:sz w:val="16"/>
              </w:rPr>
              <w:t>园区安全生产检查工作覆盖率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E80C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DB18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6EAC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F2DA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83976">
            <w:pPr>
              <w:jc w:val="center"/>
            </w:pPr>
            <w:r>
              <w:rPr>
                <w:rFonts w:ascii="宋体" w:hAnsi="宋体" w:eastAsia="宋体"/>
                <w:sz w:val="16"/>
              </w:rPr>
              <w:t>18</w:t>
            </w:r>
          </w:p>
        </w:tc>
      </w:tr>
      <w:tr w14:paraId="0C8F7B8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C2458">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5F05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9D754">
            <w:pPr>
              <w:jc w:val="center"/>
            </w:pPr>
            <w:r>
              <w:rPr>
                <w:rFonts w:ascii="宋体" w:hAnsi="宋体" w:eastAsia="宋体"/>
                <w:sz w:val="16"/>
              </w:rPr>
              <w:t>安全隐患摸排检查企业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49184">
            <w:pPr>
              <w:jc w:val="center"/>
            </w:pPr>
            <w:r>
              <w:rPr>
                <w:rFonts w:ascii="宋体" w:hAnsi="宋体" w:eastAsia="宋体"/>
                <w:sz w:val="16"/>
              </w:rPr>
              <w:t>&gt;=114次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27E5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CB2C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00191">
            <w:pPr>
              <w:jc w:val="center"/>
            </w:pPr>
            <w:r>
              <w:rPr>
                <w:rFonts w:ascii="宋体" w:hAnsi="宋体" w:eastAsia="宋体"/>
                <w:sz w:val="16"/>
              </w:rPr>
              <w:t>114次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A9EA0">
            <w:pPr>
              <w:jc w:val="center"/>
            </w:pPr>
            <w:r>
              <w:rPr>
                <w:rFonts w:ascii="宋体" w:hAnsi="宋体" w:eastAsia="宋体"/>
                <w:sz w:val="16"/>
              </w:rPr>
              <w:t>18</w:t>
            </w:r>
          </w:p>
        </w:tc>
      </w:tr>
      <w:tr w14:paraId="3333E1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EECB5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BAA1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FE8EB">
            <w:pPr>
              <w:jc w:val="center"/>
            </w:pPr>
            <w:r>
              <w:rPr>
                <w:rFonts w:ascii="宋体" w:hAnsi="宋体" w:eastAsia="宋体"/>
                <w:sz w:val="16"/>
              </w:rPr>
              <w:t>组织宣传环境保护工作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2B1AD">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BF8B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68FC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BA2C2">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96335">
            <w:pPr>
              <w:jc w:val="center"/>
            </w:pPr>
            <w:r>
              <w:rPr>
                <w:rFonts w:ascii="宋体" w:hAnsi="宋体" w:eastAsia="宋体"/>
                <w:sz w:val="16"/>
              </w:rPr>
              <w:t>18</w:t>
            </w:r>
          </w:p>
        </w:tc>
      </w:tr>
      <w:tr w14:paraId="446BDE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0CE31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1468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EE19A">
            <w:pPr>
              <w:jc w:val="center"/>
            </w:pPr>
            <w:r>
              <w:rPr>
                <w:rFonts w:ascii="宋体" w:hAnsi="宋体" w:eastAsia="宋体"/>
                <w:sz w:val="16"/>
              </w:rPr>
              <w:t>招商引资业务培训次数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AEF8B7">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3C2D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5694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1375E">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60C1D">
            <w:pPr>
              <w:jc w:val="center"/>
            </w:pPr>
            <w:r>
              <w:rPr>
                <w:rFonts w:ascii="宋体" w:hAnsi="宋体" w:eastAsia="宋体"/>
                <w:sz w:val="16"/>
              </w:rPr>
              <w:t>18</w:t>
            </w:r>
          </w:p>
        </w:tc>
      </w:tr>
      <w:tr w14:paraId="2052CE2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CEA3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58BEB">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7AD2D">
            <w:pPr>
              <w:jc w:val="center"/>
            </w:pPr>
            <w:r>
              <w:rPr>
                <w:rFonts w:ascii="宋体" w:hAnsi="宋体" w:eastAsia="宋体"/>
                <w:sz w:val="16"/>
              </w:rPr>
              <w:t>安全生产问题整改及时率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8172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C219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AC5E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CD9E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B589A">
            <w:pPr>
              <w:jc w:val="center"/>
            </w:pPr>
            <w:r>
              <w:rPr>
                <w:rFonts w:ascii="宋体" w:hAnsi="宋体" w:eastAsia="宋体"/>
                <w:sz w:val="16"/>
              </w:rPr>
              <w:t>18</w:t>
            </w:r>
          </w:p>
        </w:tc>
      </w:tr>
    </w:tbl>
    <w:p w14:paraId="2201B4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C0BBE20">
        <w:tblPrEx>
          <w:tblCellMar>
            <w:top w:w="0" w:type="dxa"/>
            <w:left w:w="108" w:type="dxa"/>
            <w:bottom w:w="0" w:type="dxa"/>
            <w:right w:w="108" w:type="dxa"/>
          </w:tblCellMar>
        </w:tblPrEx>
        <w:tc>
          <w:tcPr>
            <w:tcW w:w="8848" w:type="dxa"/>
            <w:gridSpan w:val="14"/>
            <w:vAlign w:val="center"/>
          </w:tcPr>
          <w:p w14:paraId="512408BE">
            <w:pPr>
              <w:jc w:val="center"/>
            </w:pPr>
            <w:r>
              <w:rPr>
                <w:rFonts w:ascii="宋体" w:hAnsi="宋体" w:eastAsia="宋体"/>
                <w:sz w:val="24"/>
              </w:rPr>
              <w:t>项目支出绩效自评表</w:t>
            </w:r>
          </w:p>
        </w:tc>
      </w:tr>
      <w:tr w14:paraId="481EC2E5">
        <w:tblPrEx>
          <w:tblCellMar>
            <w:top w:w="0" w:type="dxa"/>
            <w:left w:w="108" w:type="dxa"/>
            <w:bottom w:w="0" w:type="dxa"/>
            <w:right w:w="108" w:type="dxa"/>
          </w:tblCellMar>
        </w:tblPrEx>
        <w:tc>
          <w:tcPr>
            <w:tcW w:w="8848" w:type="dxa"/>
            <w:gridSpan w:val="14"/>
            <w:vAlign w:val="center"/>
          </w:tcPr>
          <w:p w14:paraId="10067B8B">
            <w:pPr>
              <w:jc w:val="center"/>
            </w:pPr>
            <w:r>
              <w:rPr>
                <w:rFonts w:ascii="宋体" w:hAnsi="宋体" w:eastAsia="宋体"/>
                <w:sz w:val="24"/>
              </w:rPr>
              <w:t>(2024年度)</w:t>
            </w:r>
          </w:p>
        </w:tc>
      </w:tr>
      <w:tr w14:paraId="46EE0A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D114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970002">
            <w:pPr>
              <w:jc w:val="center"/>
            </w:pPr>
            <w:r>
              <w:rPr>
                <w:rFonts w:ascii="宋体" w:hAnsi="宋体" w:eastAsia="宋体"/>
                <w:sz w:val="16"/>
              </w:rPr>
              <w:t>2024年阿图什工业园区管理委员会县级领导经费项目</w:t>
            </w:r>
          </w:p>
        </w:tc>
      </w:tr>
      <w:tr w14:paraId="59E296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3D3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691F13">
            <w:pPr>
              <w:jc w:val="center"/>
            </w:pPr>
            <w:r>
              <w:rPr>
                <w:rFonts w:ascii="宋体" w:hAnsi="宋体" w:eastAsia="宋体"/>
                <w:sz w:val="16"/>
              </w:rPr>
              <w:t>阿图什工业园区管理委员会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F3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8ECE79">
            <w:pPr>
              <w:jc w:val="center"/>
            </w:pPr>
            <w:r>
              <w:rPr>
                <w:rFonts w:ascii="宋体" w:hAnsi="宋体" w:eastAsia="宋体"/>
                <w:sz w:val="16"/>
              </w:rPr>
              <w:t>阿图什工业园区管理委员会</w:t>
            </w:r>
          </w:p>
        </w:tc>
      </w:tr>
      <w:tr w14:paraId="1575DF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5E6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93B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5A2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EA1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D51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47D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F4F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937DC">
            <w:pPr>
              <w:jc w:val="center"/>
            </w:pPr>
            <w:r>
              <w:rPr>
                <w:rFonts w:ascii="宋体" w:hAnsi="宋体" w:eastAsia="宋体"/>
                <w:sz w:val="16"/>
              </w:rPr>
              <w:t>得分</w:t>
            </w:r>
          </w:p>
        </w:tc>
      </w:tr>
      <w:tr w14:paraId="7CD5F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0DC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630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618C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9867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04B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213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85F1F">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1BD9">
            <w:pPr>
              <w:jc w:val="center"/>
            </w:pPr>
            <w:r>
              <w:rPr>
                <w:rFonts w:ascii="宋体" w:hAnsi="宋体" w:eastAsia="宋体"/>
                <w:sz w:val="16"/>
              </w:rPr>
              <w:t>0.00分</w:t>
            </w:r>
          </w:p>
        </w:tc>
      </w:tr>
      <w:tr w14:paraId="523767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0D6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D64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E1DF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EF2C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C31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CAD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90D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5827">
            <w:pPr>
              <w:jc w:val="center"/>
            </w:pPr>
            <w:r>
              <w:rPr>
                <w:rFonts w:ascii="宋体" w:hAnsi="宋体" w:eastAsia="宋体"/>
                <w:sz w:val="16"/>
              </w:rPr>
              <w:t>—</w:t>
            </w:r>
          </w:p>
        </w:tc>
      </w:tr>
      <w:tr w14:paraId="30439D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10C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952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607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1FE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DF0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CFD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832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F1C6">
            <w:pPr>
              <w:jc w:val="center"/>
            </w:pPr>
            <w:r>
              <w:rPr>
                <w:rFonts w:ascii="宋体" w:hAnsi="宋体" w:eastAsia="宋体"/>
                <w:sz w:val="16"/>
              </w:rPr>
              <w:t>—</w:t>
            </w:r>
          </w:p>
        </w:tc>
      </w:tr>
      <w:tr w14:paraId="74E528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0C14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7E53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5314AD">
            <w:pPr>
              <w:jc w:val="center"/>
            </w:pPr>
            <w:r>
              <w:rPr>
                <w:rFonts w:ascii="宋体" w:hAnsi="宋体" w:eastAsia="宋体"/>
                <w:sz w:val="16"/>
              </w:rPr>
              <w:t>实际完成情况</w:t>
            </w:r>
          </w:p>
        </w:tc>
      </w:tr>
      <w:tr w14:paraId="38BB0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8C4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A98C1">
            <w:pPr>
              <w:jc w:val="both"/>
            </w:pPr>
            <w:r>
              <w:rPr>
                <w:rFonts w:ascii="宋体" w:hAnsi="宋体" w:eastAsia="宋体"/>
                <w:sz w:val="16"/>
              </w:rPr>
              <w:t>根据《关于将阿图什工业园区管理委员会会会基础设施维护及其他费用支出列入2024年部门预算的申请》，2024年计划投入2万元用于租赁车辆1辆及采购办公用品1批等</w:t>
            </w:r>
            <w:r>
              <w:rPr>
                <w:rFonts w:hint="eastAsia" w:ascii="宋体" w:hAnsi="宋体"/>
                <w:sz w:val="16"/>
                <w:lang w:eastAsia="zh-CN"/>
              </w:rPr>
              <w:t>，</w:t>
            </w:r>
            <w:r>
              <w:rPr>
                <w:rFonts w:ascii="宋体" w:hAnsi="宋体" w:eastAsia="宋体"/>
                <w:sz w:val="16"/>
              </w:rPr>
              <w:t xml:space="preserve">通过项目实施，保障日常工作的顺利开展，及时有效地完成各项工作任务，并持续为人民群众提供服务。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019251">
            <w:pPr>
              <w:jc w:val="both"/>
            </w:pPr>
            <w:r>
              <w:rPr>
                <w:rFonts w:ascii="宋体" w:hAnsi="宋体" w:eastAsia="宋体"/>
                <w:sz w:val="16"/>
              </w:rPr>
              <w:t xml:space="preserve">本项目已完成县级领导出差次数4次，采购办公用品批次1批；通过实施本项目，保障日常工作的顺利开展，及时有效地完成各项工作任务，并持续为人民群众提供服务。 </w:t>
            </w:r>
          </w:p>
        </w:tc>
      </w:tr>
      <w:tr w14:paraId="330B16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31F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C6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E9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FD2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6C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AD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54D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A3C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49B1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DF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E6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AC6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490BB">
            <w:pPr>
              <w:jc w:val="center"/>
            </w:pPr>
            <w:r>
              <w:rPr>
                <w:rFonts w:ascii="宋体" w:hAnsi="宋体" w:eastAsia="宋体"/>
                <w:sz w:val="16"/>
              </w:rPr>
              <w:t>偏差原因分析及改进措施</w:t>
            </w:r>
          </w:p>
        </w:tc>
      </w:tr>
      <w:tr w14:paraId="0F4547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251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557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CC2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2143">
            <w:pPr>
              <w:jc w:val="center"/>
            </w:pPr>
            <w:r>
              <w:rPr>
                <w:rFonts w:ascii="宋体" w:hAnsi="宋体" w:eastAsia="宋体"/>
                <w:sz w:val="16"/>
              </w:rPr>
              <w:t>县级领导出差次数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DB0D">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64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2B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FC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31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EC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8A6C">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D71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082B2">
            <w:pPr>
              <w:jc w:val="center"/>
            </w:pPr>
          </w:p>
        </w:tc>
      </w:tr>
      <w:tr w14:paraId="29E403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A5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B00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105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D8A6D">
            <w:pPr>
              <w:jc w:val="center"/>
            </w:pPr>
            <w:r>
              <w:rPr>
                <w:rFonts w:ascii="宋体" w:hAnsi="宋体" w:eastAsia="宋体"/>
                <w:sz w:val="16"/>
              </w:rPr>
              <w:t>采购办公用品批次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11EF">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CE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09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3B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C5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0DB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CB9F">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D65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EF2D6">
            <w:pPr>
              <w:jc w:val="center"/>
            </w:pPr>
          </w:p>
        </w:tc>
      </w:tr>
      <w:tr w14:paraId="108FD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1A5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D64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F41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56DE2">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D1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16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D3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20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7B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28E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0A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36DC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78435">
            <w:pPr>
              <w:jc w:val="center"/>
            </w:pPr>
          </w:p>
        </w:tc>
      </w:tr>
      <w:tr w14:paraId="7DCFB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5CA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FD1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9EB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162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E7C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FCA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35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6E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8D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25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C7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9E3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FE30D">
            <w:pPr>
              <w:jc w:val="center"/>
            </w:pPr>
            <w:r>
              <w:rPr>
                <w:rFonts w:ascii="宋体" w:hAnsi="宋体" w:eastAsia="宋体"/>
                <w:sz w:val="16"/>
              </w:rPr>
              <w:t>原因：未及时提供支出资料，未能按时支出；措施：及时催收支出资料，加快项目支出进度，减少偏差。</w:t>
            </w:r>
          </w:p>
        </w:tc>
      </w:tr>
      <w:tr w14:paraId="128B2F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DB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235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02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360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623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EE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E8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8B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B4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1F2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0248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7F9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1B8EE">
            <w:pPr>
              <w:jc w:val="center"/>
            </w:pPr>
          </w:p>
        </w:tc>
      </w:tr>
      <w:tr w14:paraId="50092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465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92D8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5AA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0BCD8">
            <w:pPr>
              <w:jc w:val="center"/>
            </w:pPr>
            <w:r>
              <w:rPr>
                <w:rFonts w:ascii="宋体" w:hAnsi="宋体" w:eastAsia="宋体"/>
                <w:sz w:val="16"/>
              </w:rPr>
              <w:t>县级领导出差费用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B345">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205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D9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E4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6A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948C">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326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18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747B4">
            <w:pPr>
              <w:jc w:val="center"/>
            </w:pPr>
            <w:r>
              <w:rPr>
                <w:rFonts w:ascii="宋体" w:hAnsi="宋体" w:eastAsia="宋体"/>
                <w:sz w:val="16"/>
              </w:rPr>
              <w:t>原因：未及时提供支出资料，未能按时支出；措施：及时催收支出资料，加快项目支出进度，减少偏差。</w:t>
            </w:r>
          </w:p>
        </w:tc>
      </w:tr>
      <w:tr w14:paraId="585A5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97B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62A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6F7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FD12">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E9B0">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D0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98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04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D3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C156">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BFC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DD3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5EE33">
            <w:pPr>
              <w:jc w:val="center"/>
            </w:pPr>
            <w:r>
              <w:rPr>
                <w:rFonts w:ascii="宋体" w:hAnsi="宋体" w:eastAsia="宋体"/>
                <w:sz w:val="16"/>
              </w:rPr>
              <w:t>原因：未及时提供支出资料，未能按时支出；措施：及时催收支出资料，加快项目支出进度，减少偏差。</w:t>
            </w:r>
          </w:p>
        </w:tc>
      </w:tr>
      <w:tr w14:paraId="06AA4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E71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EF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E6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1B22">
            <w:pPr>
              <w:jc w:val="center"/>
            </w:pPr>
            <w:r>
              <w:rPr>
                <w:rFonts w:ascii="宋体" w:hAnsi="宋体" w:eastAsia="宋体"/>
                <w:sz w:val="16"/>
              </w:rPr>
              <w:t>保障园区业务工作的顺利开展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6B5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9A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E1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B7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E91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F8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6BD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7A8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ACFFD">
            <w:pPr>
              <w:jc w:val="center"/>
            </w:pPr>
          </w:p>
        </w:tc>
      </w:tr>
      <w:tr w14:paraId="22EF7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C7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B3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E7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BBEE">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F312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7A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924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A1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7B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E9AD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BF8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F1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98AAC">
            <w:pPr>
              <w:jc w:val="center"/>
            </w:pPr>
          </w:p>
        </w:tc>
      </w:tr>
      <w:tr w14:paraId="3C655D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12E9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245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4144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2DCF">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521342"/>
        </w:tc>
      </w:tr>
    </w:tbl>
    <w:p w14:paraId="0D99A8E0">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19"/>
        <w:gridCol w:w="856"/>
        <w:gridCol w:w="606"/>
        <w:gridCol w:w="603"/>
        <w:gridCol w:w="610"/>
        <w:gridCol w:w="599"/>
        <w:gridCol w:w="619"/>
        <w:gridCol w:w="936"/>
        <w:gridCol w:w="630"/>
        <w:gridCol w:w="547"/>
        <w:gridCol w:w="620"/>
      </w:tblGrid>
      <w:tr w14:paraId="4C453CFE">
        <w:tblPrEx>
          <w:tblCellMar>
            <w:top w:w="0" w:type="dxa"/>
            <w:left w:w="108" w:type="dxa"/>
            <w:bottom w:w="0" w:type="dxa"/>
            <w:right w:w="108" w:type="dxa"/>
          </w:tblCellMar>
        </w:tblPrEx>
        <w:tc>
          <w:tcPr>
            <w:tcW w:w="8848" w:type="dxa"/>
            <w:gridSpan w:val="14"/>
            <w:vAlign w:val="center"/>
          </w:tcPr>
          <w:p w14:paraId="4D07660B">
            <w:pPr>
              <w:jc w:val="center"/>
            </w:pPr>
            <w:r>
              <w:rPr>
                <w:rFonts w:ascii="宋体" w:hAnsi="宋体" w:eastAsia="宋体"/>
                <w:sz w:val="24"/>
              </w:rPr>
              <w:t>项目支出绩效自评表</w:t>
            </w:r>
          </w:p>
        </w:tc>
      </w:tr>
      <w:tr w14:paraId="0EE4322E">
        <w:tblPrEx>
          <w:tblCellMar>
            <w:top w:w="0" w:type="dxa"/>
            <w:left w:w="108" w:type="dxa"/>
            <w:bottom w:w="0" w:type="dxa"/>
            <w:right w:w="108" w:type="dxa"/>
          </w:tblCellMar>
        </w:tblPrEx>
        <w:tc>
          <w:tcPr>
            <w:tcW w:w="8848" w:type="dxa"/>
            <w:gridSpan w:val="14"/>
            <w:vAlign w:val="center"/>
          </w:tcPr>
          <w:p w14:paraId="7AAB97FA">
            <w:pPr>
              <w:jc w:val="center"/>
            </w:pPr>
            <w:r>
              <w:rPr>
                <w:rFonts w:ascii="宋体" w:hAnsi="宋体" w:eastAsia="宋体"/>
                <w:sz w:val="24"/>
              </w:rPr>
              <w:t>(2024年度)</w:t>
            </w:r>
          </w:p>
        </w:tc>
      </w:tr>
      <w:tr w14:paraId="2ECD5A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F0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F731AD">
            <w:pPr>
              <w:jc w:val="center"/>
            </w:pPr>
            <w:r>
              <w:rPr>
                <w:rFonts w:ascii="宋体" w:hAnsi="宋体" w:eastAsia="宋体"/>
                <w:sz w:val="16"/>
              </w:rPr>
              <w:t>2024年阿图什工业园区管理委员会基本运转维护经费项目</w:t>
            </w:r>
          </w:p>
        </w:tc>
      </w:tr>
      <w:tr w14:paraId="7E5D7D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7C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6A861A">
            <w:pPr>
              <w:jc w:val="center"/>
            </w:pPr>
            <w:r>
              <w:rPr>
                <w:rFonts w:ascii="宋体" w:hAnsi="宋体" w:eastAsia="宋体"/>
                <w:sz w:val="16"/>
              </w:rPr>
              <w:t>阿图什工业园区管理委员会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8D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882930">
            <w:pPr>
              <w:jc w:val="center"/>
            </w:pPr>
            <w:r>
              <w:rPr>
                <w:rFonts w:ascii="宋体" w:hAnsi="宋体" w:eastAsia="宋体"/>
                <w:sz w:val="16"/>
              </w:rPr>
              <w:t>阿图什工业园区管理委员会</w:t>
            </w:r>
          </w:p>
        </w:tc>
      </w:tr>
      <w:tr w14:paraId="2EAC97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03B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A97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F79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B7D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AE1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33D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3B1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A3C9">
            <w:pPr>
              <w:jc w:val="center"/>
            </w:pPr>
            <w:r>
              <w:rPr>
                <w:rFonts w:ascii="宋体" w:hAnsi="宋体" w:eastAsia="宋体"/>
                <w:sz w:val="16"/>
              </w:rPr>
              <w:t>得分</w:t>
            </w:r>
          </w:p>
        </w:tc>
      </w:tr>
      <w:tr w14:paraId="016817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1F1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E5A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92A0F">
            <w:pPr>
              <w:jc w:val="center"/>
            </w:pPr>
            <w:r>
              <w:rPr>
                <w:rFonts w:ascii="宋体" w:hAnsi="宋体" w:eastAsia="宋体"/>
                <w:sz w:val="16"/>
              </w:rPr>
              <w:t>1,220.00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9DAFD">
            <w:pPr>
              <w:jc w:val="center"/>
            </w:pPr>
            <w:r>
              <w:rPr>
                <w:rFonts w:ascii="宋体" w:hAnsi="宋体" w:eastAsia="宋体"/>
                <w:sz w:val="16"/>
              </w:rPr>
              <w:t>1,220.00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10FD9">
            <w:pPr>
              <w:jc w:val="center"/>
            </w:pPr>
            <w:r>
              <w:rPr>
                <w:rFonts w:ascii="宋体" w:hAnsi="宋体" w:eastAsia="宋体"/>
                <w:sz w:val="16"/>
              </w:rPr>
              <w:t>1,123.03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BD3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314BE">
            <w:pPr>
              <w:jc w:val="center"/>
            </w:pPr>
            <w:r>
              <w:rPr>
                <w:rFonts w:ascii="宋体" w:hAnsi="宋体" w:eastAsia="宋体"/>
                <w:sz w:val="16"/>
              </w:rPr>
              <w:t>92.1%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4D4F">
            <w:pPr>
              <w:jc w:val="center"/>
            </w:pPr>
            <w:r>
              <w:rPr>
                <w:rFonts w:ascii="宋体" w:hAnsi="宋体" w:eastAsia="宋体"/>
                <w:sz w:val="16"/>
              </w:rPr>
              <w:t>8.02分</w:t>
            </w:r>
          </w:p>
        </w:tc>
      </w:tr>
      <w:tr w14:paraId="79ADF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B86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27A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A5F1F">
            <w:pPr>
              <w:jc w:val="center"/>
            </w:pPr>
            <w:r>
              <w:rPr>
                <w:rFonts w:ascii="宋体" w:hAnsi="宋体" w:eastAsia="宋体"/>
                <w:sz w:val="16"/>
              </w:rPr>
              <w:t>1,220.00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658B3">
            <w:pPr>
              <w:jc w:val="center"/>
            </w:pPr>
            <w:r>
              <w:rPr>
                <w:rFonts w:ascii="宋体" w:hAnsi="宋体" w:eastAsia="宋体"/>
                <w:sz w:val="16"/>
              </w:rPr>
              <w:t>1,220.00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C7981">
            <w:pPr>
              <w:jc w:val="center"/>
            </w:pPr>
            <w:r>
              <w:rPr>
                <w:rFonts w:ascii="宋体" w:hAnsi="宋体" w:eastAsia="宋体"/>
                <w:sz w:val="16"/>
              </w:rPr>
              <w:t>1,123.03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3FC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304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AF87">
            <w:pPr>
              <w:jc w:val="center"/>
            </w:pPr>
            <w:r>
              <w:rPr>
                <w:rFonts w:ascii="宋体" w:hAnsi="宋体" w:eastAsia="宋体"/>
                <w:sz w:val="16"/>
              </w:rPr>
              <w:t>—</w:t>
            </w:r>
          </w:p>
        </w:tc>
      </w:tr>
      <w:tr w14:paraId="1126B7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F6C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214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530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101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214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B3B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D74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7DB5">
            <w:pPr>
              <w:jc w:val="center"/>
            </w:pPr>
            <w:r>
              <w:rPr>
                <w:rFonts w:ascii="宋体" w:hAnsi="宋体" w:eastAsia="宋体"/>
                <w:sz w:val="16"/>
              </w:rPr>
              <w:t>—</w:t>
            </w:r>
          </w:p>
        </w:tc>
      </w:tr>
      <w:tr w14:paraId="775CC1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05B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0013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2F4B3D">
            <w:pPr>
              <w:jc w:val="center"/>
            </w:pPr>
            <w:r>
              <w:rPr>
                <w:rFonts w:ascii="宋体" w:hAnsi="宋体" w:eastAsia="宋体"/>
                <w:sz w:val="16"/>
              </w:rPr>
              <w:t>实际完成情况</w:t>
            </w:r>
          </w:p>
        </w:tc>
      </w:tr>
      <w:tr w14:paraId="1EEBD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5C8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C2131">
            <w:pPr>
              <w:jc w:val="both"/>
            </w:pPr>
            <w:r>
              <w:rPr>
                <w:rFonts w:ascii="宋体" w:hAnsi="宋体" w:eastAsia="宋体"/>
                <w:sz w:val="16"/>
              </w:rPr>
              <w:t>项目资金总额为1220万元，其中：主要用于阿图什工业园区物业管理320万元、污水处理400万元、</w:t>
            </w:r>
            <w:r>
              <w:rPr>
                <w:rFonts w:hint="eastAsia" w:ascii="宋体" w:hAnsi="宋体"/>
                <w:sz w:val="16"/>
                <w:lang w:eastAsia="zh-CN"/>
              </w:rPr>
              <w:t>招</w:t>
            </w:r>
            <w:r>
              <w:rPr>
                <w:rFonts w:ascii="宋体" w:hAnsi="宋体" w:eastAsia="宋体"/>
                <w:sz w:val="16"/>
              </w:rPr>
              <w:t>商引资及其他业务运转维护500万元。该项目的实施对园区企业生产生活提供了基础保障，为园区企业发展环境的转变带来生机，加快了园区建设的步伐，改善了阿图什园区的投资环境，为提高企业核心竞争力方面提供了强劲动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7F590A">
            <w:pPr>
              <w:jc w:val="both"/>
            </w:pPr>
            <w:r>
              <w:rPr>
                <w:rFonts w:ascii="宋体" w:hAnsi="宋体" w:eastAsia="宋体"/>
                <w:sz w:val="16"/>
              </w:rPr>
              <w:t>本项目共计支出1123.0258万元，用于园区物业管理覆盖面积883.79公顷，污水处理中水回用量358万立方米/年，园区全年污水处理总量365万立方米/年，聘请专业技术人员检查园区企业安全生产次数4次，用于网络专线费用维修维护次数2次，宣传片、宣传标语、宣传牌、宣传册、横幅次数10次；通过实施本项目对园区企</w:t>
            </w:r>
            <w:r>
              <w:rPr>
                <w:rFonts w:hint="eastAsia" w:ascii="宋体" w:hAnsi="宋体"/>
                <w:sz w:val="16"/>
                <w:lang w:eastAsia="zh-CN"/>
              </w:rPr>
              <w:t>业的</w:t>
            </w:r>
            <w:r>
              <w:rPr>
                <w:rFonts w:ascii="宋体" w:hAnsi="宋体" w:eastAsia="宋体"/>
                <w:sz w:val="16"/>
              </w:rPr>
              <w:t>生产生活提供了基础保障，为园区企业发展环境的转变带来生机，加快了园区建设的步伐，改善了阿图什园区的投资环境，为提高企业核心竞争力方面提供了强劲动力。</w:t>
            </w:r>
          </w:p>
        </w:tc>
      </w:tr>
      <w:tr w14:paraId="51F849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F34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D9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8A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8F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66C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5B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05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21B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CE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C51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0F5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8A0C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D18D6">
            <w:pPr>
              <w:jc w:val="center"/>
            </w:pPr>
            <w:r>
              <w:rPr>
                <w:rFonts w:ascii="宋体" w:hAnsi="宋体" w:eastAsia="宋体"/>
                <w:sz w:val="16"/>
              </w:rPr>
              <w:t>偏差原因分析及改进措施</w:t>
            </w:r>
          </w:p>
        </w:tc>
      </w:tr>
      <w:tr w14:paraId="62F9DD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1E6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2970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6E9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38B7">
            <w:pPr>
              <w:jc w:val="center"/>
            </w:pPr>
            <w:r>
              <w:rPr>
                <w:rFonts w:ascii="宋体" w:hAnsi="宋体" w:eastAsia="宋体"/>
                <w:sz w:val="16"/>
              </w:rPr>
              <w:t>园区物业管理覆盖面积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AF42">
            <w:pPr>
              <w:jc w:val="center"/>
            </w:pPr>
            <w:r>
              <w:rPr>
                <w:rFonts w:ascii="宋体" w:hAnsi="宋体" w:eastAsia="宋体"/>
                <w:sz w:val="16"/>
              </w:rPr>
              <w:t>&gt;=883.79公顷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69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D3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F2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C7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93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63BA">
            <w:pPr>
              <w:jc w:val="center"/>
            </w:pPr>
            <w:r>
              <w:rPr>
                <w:rFonts w:ascii="宋体" w:hAnsi="宋体" w:eastAsia="宋体"/>
                <w:sz w:val="16"/>
              </w:rPr>
              <w:t>=883.79公顷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48E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A2D92">
            <w:pPr>
              <w:jc w:val="center"/>
            </w:pPr>
          </w:p>
        </w:tc>
      </w:tr>
      <w:tr w14:paraId="47CD98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07F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9E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89D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AAA4">
            <w:pPr>
              <w:jc w:val="center"/>
            </w:pPr>
            <w:r>
              <w:rPr>
                <w:rFonts w:ascii="宋体" w:hAnsi="宋体" w:eastAsia="宋体"/>
                <w:sz w:val="16"/>
              </w:rPr>
              <w:t>污水处理中水回用量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29493">
            <w:pPr>
              <w:jc w:val="center"/>
            </w:pPr>
            <w:r>
              <w:rPr>
                <w:rFonts w:ascii="宋体" w:hAnsi="宋体" w:eastAsia="宋体"/>
                <w:sz w:val="16"/>
              </w:rPr>
              <w:t>&gt;=358万立方米/年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A6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5D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58E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E5A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EC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5654">
            <w:pPr>
              <w:jc w:val="center"/>
            </w:pPr>
            <w:r>
              <w:rPr>
                <w:rFonts w:ascii="宋体" w:hAnsi="宋体" w:eastAsia="宋体"/>
                <w:sz w:val="16"/>
              </w:rPr>
              <w:t>=358万立方米/年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0E7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3C662">
            <w:pPr>
              <w:jc w:val="center"/>
            </w:pPr>
          </w:p>
        </w:tc>
      </w:tr>
      <w:tr w14:paraId="74D2A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CFF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3B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32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5E0E2">
            <w:pPr>
              <w:jc w:val="center"/>
            </w:pPr>
            <w:r>
              <w:rPr>
                <w:rFonts w:ascii="宋体" w:hAnsi="宋体" w:eastAsia="宋体"/>
                <w:sz w:val="16"/>
              </w:rPr>
              <w:t>园区全年污水处理总量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AFF3">
            <w:pPr>
              <w:jc w:val="center"/>
            </w:pPr>
            <w:r>
              <w:rPr>
                <w:rFonts w:ascii="宋体" w:hAnsi="宋体" w:eastAsia="宋体"/>
                <w:sz w:val="16"/>
              </w:rPr>
              <w:t>&gt;=365万立方米/年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9A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52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03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D6D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6A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5673">
            <w:pPr>
              <w:jc w:val="center"/>
            </w:pPr>
            <w:r>
              <w:rPr>
                <w:rFonts w:ascii="宋体" w:hAnsi="宋体" w:eastAsia="宋体"/>
                <w:sz w:val="16"/>
              </w:rPr>
              <w:t>=365万立方米/年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F71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DB0F8">
            <w:pPr>
              <w:jc w:val="center"/>
            </w:pPr>
          </w:p>
        </w:tc>
      </w:tr>
      <w:tr w14:paraId="49266E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5B5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F9E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EE8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1D762">
            <w:pPr>
              <w:jc w:val="center"/>
            </w:pPr>
            <w:r>
              <w:rPr>
                <w:rFonts w:ascii="宋体" w:hAnsi="宋体" w:eastAsia="宋体"/>
                <w:sz w:val="16"/>
              </w:rPr>
              <w:t>聘请专业技术人员检查园区企业安全生产次数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5CFC">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E5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81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182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DE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B1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C1D9">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49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AE535">
            <w:pPr>
              <w:jc w:val="center"/>
            </w:pPr>
            <w:r>
              <w:rPr>
                <w:rFonts w:ascii="宋体" w:hAnsi="宋体" w:eastAsia="宋体"/>
                <w:sz w:val="16"/>
              </w:rPr>
              <w:t>原因：项目年初预算指标不够精准，导致指标存在偏差；措施：下一年度做好计划及项目管理，减少实施过程中的偏差；</w:t>
            </w:r>
          </w:p>
        </w:tc>
      </w:tr>
      <w:tr w14:paraId="6AE71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46A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B8C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29C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4FE4">
            <w:pPr>
              <w:jc w:val="center"/>
            </w:pPr>
            <w:r>
              <w:rPr>
                <w:rFonts w:ascii="宋体" w:hAnsi="宋体" w:eastAsia="宋体"/>
                <w:sz w:val="16"/>
              </w:rPr>
              <w:t>用于网络专线费用维修维护次数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747DB">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CE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8B1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DA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35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97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125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18F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E4431">
            <w:pPr>
              <w:jc w:val="center"/>
            </w:pPr>
          </w:p>
        </w:tc>
      </w:tr>
      <w:tr w14:paraId="40BC8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E49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832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FBF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1C80">
            <w:pPr>
              <w:jc w:val="center"/>
            </w:pPr>
            <w:r>
              <w:rPr>
                <w:rFonts w:ascii="宋体" w:hAnsi="宋体" w:eastAsia="宋体"/>
                <w:sz w:val="16"/>
              </w:rPr>
              <w:t>宣传片、宣传标语、宣传牌、宣传册、横幅次数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295F">
            <w:pPr>
              <w:jc w:val="center"/>
            </w:pPr>
            <w:r>
              <w:rPr>
                <w:rFonts w:ascii="宋体" w:hAnsi="宋体" w:eastAsia="宋体"/>
                <w:sz w:val="16"/>
              </w:rPr>
              <w:t>&lt;=30次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9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F7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4B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0B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B8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63C1">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8EE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4A73B">
            <w:pPr>
              <w:jc w:val="center"/>
            </w:pPr>
            <w:r>
              <w:rPr>
                <w:rFonts w:ascii="宋体" w:hAnsi="宋体" w:eastAsia="宋体"/>
                <w:sz w:val="16"/>
              </w:rPr>
              <w:t>原因：项目年初预算指标不够精准，导致指标存在偏差；措施：下一年度做好计划及项目管理，减少实施过程中的偏差；</w:t>
            </w:r>
          </w:p>
        </w:tc>
      </w:tr>
      <w:tr w14:paraId="48492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07D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B8C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08E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DBA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AE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5F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2A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0B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F54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3B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E6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91A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54753">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1D6766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18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166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AE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C76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DA4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4D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F7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3F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D0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5D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50D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DCDF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AFDDC">
            <w:pPr>
              <w:jc w:val="center"/>
            </w:pPr>
          </w:p>
        </w:tc>
      </w:tr>
      <w:tr w14:paraId="088D14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EA6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3A7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392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7E28">
            <w:pPr>
              <w:jc w:val="center"/>
            </w:pPr>
            <w:r>
              <w:rPr>
                <w:rFonts w:ascii="宋体" w:hAnsi="宋体" w:eastAsia="宋体"/>
                <w:sz w:val="16"/>
              </w:rPr>
              <w:t>阿图什工业园区物业管理费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A88F">
            <w:pPr>
              <w:jc w:val="center"/>
            </w:pPr>
            <w:r>
              <w:rPr>
                <w:rFonts w:ascii="宋体" w:hAnsi="宋体" w:eastAsia="宋体"/>
                <w:sz w:val="16"/>
              </w:rPr>
              <w:t>&lt;=320万元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6F8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54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5CC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F0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390D">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21FD">
            <w:pPr>
              <w:jc w:val="center"/>
            </w:pPr>
            <w:r>
              <w:rPr>
                <w:rFonts w:ascii="宋体" w:hAnsi="宋体" w:eastAsia="宋体"/>
                <w:sz w:val="16"/>
              </w:rPr>
              <w:t>=223.0258万元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7D3B">
            <w:pPr>
              <w:jc w:val="center"/>
            </w:pPr>
            <w:r>
              <w:rPr>
                <w:rFonts w:ascii="宋体" w:hAnsi="宋体" w:eastAsia="宋体"/>
                <w:sz w:val="16"/>
              </w:rPr>
              <w:t>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12A7D">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5C86C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661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C04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165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FDE0">
            <w:pPr>
              <w:jc w:val="center"/>
            </w:pPr>
            <w:r>
              <w:rPr>
                <w:rFonts w:ascii="宋体" w:hAnsi="宋体" w:eastAsia="宋体"/>
                <w:sz w:val="16"/>
              </w:rPr>
              <w:t>污水处理费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73AB">
            <w:pPr>
              <w:jc w:val="center"/>
            </w:pPr>
            <w:r>
              <w:rPr>
                <w:rFonts w:ascii="宋体" w:hAnsi="宋体" w:eastAsia="宋体"/>
                <w:sz w:val="16"/>
              </w:rPr>
              <w:t>&lt;=400万元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72A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E0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61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2C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20671">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710C">
            <w:pPr>
              <w:jc w:val="center"/>
            </w:pPr>
            <w:r>
              <w:rPr>
                <w:rFonts w:ascii="宋体" w:hAnsi="宋体" w:eastAsia="宋体"/>
                <w:sz w:val="16"/>
              </w:rPr>
              <w: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892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23F9C">
            <w:pPr>
              <w:jc w:val="center"/>
            </w:pPr>
          </w:p>
        </w:tc>
      </w:tr>
      <w:tr w14:paraId="7706F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601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917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095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A9BA">
            <w:pPr>
              <w:jc w:val="center"/>
            </w:pPr>
            <w:r>
              <w:rPr>
                <w:rFonts w:ascii="宋体" w:hAnsi="宋体" w:eastAsia="宋体"/>
                <w:sz w:val="16"/>
              </w:rPr>
              <w:t>招商引资及其他业务运转维护费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26E9">
            <w:pPr>
              <w:jc w:val="center"/>
            </w:pPr>
            <w:r>
              <w:rPr>
                <w:rFonts w:ascii="宋体" w:hAnsi="宋体" w:eastAsia="宋体"/>
                <w:sz w:val="16"/>
              </w:rPr>
              <w:t>&lt;=500万元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F37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06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68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41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B781">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8492">
            <w:pPr>
              <w:jc w:val="center"/>
            </w:pPr>
            <w:r>
              <w:rPr>
                <w:rFonts w:ascii="宋体" w:hAnsi="宋体" w:eastAsia="宋体"/>
                <w:sz w:val="16"/>
              </w:rPr>
              <w: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34E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01931">
            <w:pPr>
              <w:jc w:val="center"/>
            </w:pPr>
          </w:p>
        </w:tc>
      </w:tr>
      <w:tr w14:paraId="742F2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51F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BC25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7F3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D17C">
            <w:pPr>
              <w:jc w:val="center"/>
            </w:pPr>
            <w:r>
              <w:rPr>
                <w:rFonts w:ascii="宋体" w:hAnsi="宋体" w:eastAsia="宋体"/>
                <w:sz w:val="16"/>
              </w:rPr>
              <w:t>优化工业园区绿化生态环境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EFB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3D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EF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BCA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B3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C0A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DAE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F53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03799">
            <w:pPr>
              <w:jc w:val="center"/>
            </w:pPr>
          </w:p>
        </w:tc>
      </w:tr>
      <w:tr w14:paraId="1D22632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FCA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645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B13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30E8">
            <w:pPr>
              <w:jc w:val="center"/>
            </w:pPr>
            <w:r>
              <w:rPr>
                <w:rFonts w:ascii="宋体" w:hAnsi="宋体" w:eastAsia="宋体"/>
                <w:sz w:val="16"/>
              </w:rPr>
              <w:t>提高园区整体产业就业环境质量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9BA5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D1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A5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285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EF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8F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D33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62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6544F">
            <w:pPr>
              <w:jc w:val="center"/>
            </w:pPr>
          </w:p>
        </w:tc>
      </w:tr>
      <w:tr w14:paraId="7D5BE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CE6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C4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37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19C9">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520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2C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36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46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E9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67E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550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67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48925">
            <w:pPr>
              <w:jc w:val="center"/>
            </w:pPr>
          </w:p>
        </w:tc>
      </w:tr>
      <w:tr w14:paraId="6ECB1C4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55D1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EFC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BF24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12CAB">
            <w:pPr>
              <w:jc w:val="center"/>
            </w:pPr>
            <w:r>
              <w:rPr>
                <w:rFonts w:ascii="宋体" w:hAnsi="宋体" w:eastAsia="宋体"/>
                <w:sz w:val="16"/>
              </w:rPr>
              <w:t>82.72分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FB91F8"/>
        </w:tc>
      </w:tr>
    </w:tbl>
    <w:p w14:paraId="22A739B7">
      <w:r>
        <w:br w:type="page"/>
      </w:r>
    </w:p>
    <w:p w14:paraId="635C45A2">
      <w:pPr>
        <w:spacing w:line="640" w:lineRule="exact"/>
        <w:ind w:firstLine="640"/>
        <w:jc w:val="both"/>
        <w:outlineLvl w:val="2"/>
      </w:pPr>
      <w:r>
        <w:rPr>
          <w:rFonts w:ascii="黑体" w:hAnsi="黑体" w:eastAsia="黑体"/>
          <w:sz w:val="32"/>
        </w:rPr>
        <w:t>十二、其他需说明的事项</w:t>
      </w:r>
    </w:p>
    <w:p w14:paraId="6E90EB01">
      <w:pPr>
        <w:spacing w:line="580" w:lineRule="exact"/>
        <w:ind w:firstLine="640"/>
        <w:jc w:val="both"/>
      </w:pPr>
      <w:r>
        <w:rPr>
          <w:rFonts w:ascii="仿宋_GB2312" w:hAnsi="仿宋_GB2312" w:eastAsia="仿宋_GB2312"/>
          <w:b w:val="0"/>
          <w:sz w:val="32"/>
        </w:rPr>
        <w:t>本单位无其他需说明的事项。</w:t>
      </w:r>
    </w:p>
    <w:p w14:paraId="0D2C4370">
      <w:r>
        <w:br w:type="page"/>
      </w:r>
    </w:p>
    <w:p w14:paraId="22947A62">
      <w:pPr>
        <w:spacing w:line="240" w:lineRule="auto"/>
        <w:jc w:val="center"/>
        <w:outlineLvl w:val="1"/>
      </w:pPr>
      <w:r>
        <w:rPr>
          <w:rFonts w:ascii="黑体" w:hAnsi="黑体" w:eastAsia="黑体"/>
          <w:sz w:val="32"/>
        </w:rPr>
        <w:t>第三部分 专业名词解释</w:t>
      </w:r>
    </w:p>
    <w:p w14:paraId="4B75BBF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58AEC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5BA87C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05A3AE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9B4B56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3468CA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20220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3BA52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EE36A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87A022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E31A02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DCF9A5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9E8E6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3685C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F55BCB">
      <w:r>
        <w:br w:type="page"/>
      </w:r>
    </w:p>
    <w:p w14:paraId="517E8F6F">
      <w:pPr>
        <w:spacing w:line="240" w:lineRule="auto"/>
        <w:jc w:val="center"/>
        <w:outlineLvl w:val="1"/>
      </w:pPr>
      <w:r>
        <w:rPr>
          <w:rFonts w:ascii="黑体" w:hAnsi="黑体" w:eastAsia="黑体"/>
          <w:sz w:val="32"/>
        </w:rPr>
        <w:t>第四部分 部门决算报表（见附表）</w:t>
      </w:r>
    </w:p>
    <w:p w14:paraId="395061B6">
      <w:pPr>
        <w:spacing w:line="240" w:lineRule="auto"/>
        <w:ind w:firstLine="640"/>
        <w:jc w:val="both"/>
      </w:pPr>
      <w:r>
        <w:rPr>
          <w:rFonts w:ascii="仿宋_GB2312" w:hAnsi="仿宋_GB2312" w:eastAsia="仿宋_GB2312"/>
          <w:b w:val="0"/>
          <w:sz w:val="32"/>
        </w:rPr>
        <w:t>一、《收入支出决算总表》</w:t>
      </w:r>
    </w:p>
    <w:p w14:paraId="2D4D1294">
      <w:pPr>
        <w:spacing w:line="240" w:lineRule="auto"/>
        <w:ind w:firstLine="640"/>
        <w:jc w:val="both"/>
      </w:pPr>
      <w:r>
        <w:rPr>
          <w:rFonts w:ascii="仿宋_GB2312" w:hAnsi="仿宋_GB2312" w:eastAsia="仿宋_GB2312"/>
          <w:b w:val="0"/>
          <w:sz w:val="32"/>
        </w:rPr>
        <w:t>二、《收入决算表》</w:t>
      </w:r>
    </w:p>
    <w:p w14:paraId="383A8C23">
      <w:pPr>
        <w:spacing w:line="240" w:lineRule="auto"/>
        <w:ind w:firstLine="640"/>
        <w:jc w:val="both"/>
      </w:pPr>
      <w:r>
        <w:rPr>
          <w:rFonts w:ascii="仿宋_GB2312" w:hAnsi="仿宋_GB2312" w:eastAsia="仿宋_GB2312"/>
          <w:b w:val="0"/>
          <w:sz w:val="32"/>
        </w:rPr>
        <w:t>三、《支出决算表》</w:t>
      </w:r>
    </w:p>
    <w:p w14:paraId="561DBE61">
      <w:pPr>
        <w:spacing w:line="240" w:lineRule="auto"/>
        <w:ind w:firstLine="640"/>
        <w:jc w:val="both"/>
      </w:pPr>
      <w:r>
        <w:rPr>
          <w:rFonts w:ascii="仿宋_GB2312" w:hAnsi="仿宋_GB2312" w:eastAsia="仿宋_GB2312"/>
          <w:b w:val="0"/>
          <w:sz w:val="32"/>
        </w:rPr>
        <w:t>四、《财政拨款收入支出决算总表》</w:t>
      </w:r>
    </w:p>
    <w:p w14:paraId="53FE9B45">
      <w:pPr>
        <w:spacing w:line="240" w:lineRule="auto"/>
        <w:ind w:firstLine="640"/>
        <w:jc w:val="both"/>
      </w:pPr>
      <w:r>
        <w:rPr>
          <w:rFonts w:ascii="仿宋_GB2312" w:hAnsi="仿宋_GB2312" w:eastAsia="仿宋_GB2312"/>
          <w:b w:val="0"/>
          <w:sz w:val="32"/>
        </w:rPr>
        <w:t>五、《一般公共预算财政拨款支出决算表》</w:t>
      </w:r>
    </w:p>
    <w:p w14:paraId="7ACC31F1">
      <w:pPr>
        <w:spacing w:line="240" w:lineRule="auto"/>
        <w:ind w:firstLine="640"/>
        <w:jc w:val="both"/>
      </w:pPr>
      <w:r>
        <w:rPr>
          <w:rFonts w:ascii="仿宋_GB2312" w:hAnsi="仿宋_GB2312" w:eastAsia="仿宋_GB2312"/>
          <w:b w:val="0"/>
          <w:sz w:val="32"/>
        </w:rPr>
        <w:t>六、《一般公共预算财政拨款基本支出决算表》</w:t>
      </w:r>
    </w:p>
    <w:p w14:paraId="362D0F24">
      <w:pPr>
        <w:spacing w:line="240" w:lineRule="auto"/>
        <w:ind w:firstLine="640"/>
        <w:jc w:val="both"/>
      </w:pPr>
      <w:r>
        <w:rPr>
          <w:rFonts w:ascii="仿宋_GB2312" w:hAnsi="仿宋_GB2312" w:eastAsia="仿宋_GB2312"/>
          <w:b w:val="0"/>
          <w:sz w:val="32"/>
        </w:rPr>
        <w:t>七、《政府性基金预算财政拨款收入支出决算表》</w:t>
      </w:r>
    </w:p>
    <w:p w14:paraId="0128D76A">
      <w:pPr>
        <w:spacing w:line="240" w:lineRule="auto"/>
        <w:ind w:firstLine="640"/>
        <w:jc w:val="both"/>
      </w:pPr>
      <w:r>
        <w:rPr>
          <w:rFonts w:ascii="仿宋_GB2312" w:hAnsi="仿宋_GB2312" w:eastAsia="仿宋_GB2312"/>
          <w:b w:val="0"/>
          <w:sz w:val="32"/>
        </w:rPr>
        <w:t>八、《国有资本经营预算财政拨款收入支出决算表》</w:t>
      </w:r>
    </w:p>
    <w:p w14:paraId="0952EB26">
      <w:pPr>
        <w:spacing w:line="240" w:lineRule="auto"/>
        <w:ind w:firstLine="640"/>
        <w:jc w:val="both"/>
      </w:pPr>
      <w:r>
        <w:rPr>
          <w:rFonts w:ascii="仿宋_GB2312" w:hAnsi="仿宋_GB2312" w:eastAsia="仿宋_GB2312"/>
          <w:b w:val="0"/>
          <w:sz w:val="32"/>
        </w:rPr>
        <w:t>九、《财政拨款“三公”经费支出决算表》</w:t>
      </w:r>
    </w:p>
    <w:p w14:paraId="7EE09D37">
      <w:pPr>
        <w:spacing w:line="240" w:lineRule="auto"/>
        <w:ind w:firstLine="640"/>
        <w:jc w:val="both"/>
      </w:pPr>
    </w:p>
    <w:p w14:paraId="3D6A5276">
      <w:pPr>
        <w:spacing w:line="240" w:lineRule="auto"/>
        <w:ind w:firstLine="640"/>
        <w:jc w:val="both"/>
      </w:pPr>
    </w:p>
    <w:p w14:paraId="0814993D">
      <w:pPr>
        <w:spacing w:line="240" w:lineRule="auto"/>
        <w:ind w:firstLine="640"/>
        <w:jc w:val="both"/>
      </w:pPr>
    </w:p>
    <w:p w14:paraId="0EBF895E">
      <w:pPr>
        <w:spacing w:line="240" w:lineRule="auto"/>
        <w:ind w:firstLine="640"/>
        <w:jc w:val="both"/>
      </w:pPr>
    </w:p>
    <w:p w14:paraId="5FA73A3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549F01D-6189-4EEA-A7BB-78C47DAAAF6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C8CBFEB-EE3C-4137-AEC2-339111977240}"/>
  </w:font>
  <w:font w:name="仿宋_GB2312">
    <w:altName w:val="仿宋"/>
    <w:panose1 w:val="02010609030101010101"/>
    <w:charset w:val="86"/>
    <w:family w:val="modern"/>
    <w:pitch w:val="default"/>
    <w:sig w:usb0="00000000" w:usb1="00000000" w:usb2="00000000" w:usb3="00000000" w:csb0="00040000" w:csb1="00000000"/>
    <w:embedRegular r:id="rId3" w:fontKey="{6BF3563E-5484-447C-BD54-A52FE432E0C1}"/>
  </w:font>
  <w:font w:name="楷体_GB2312">
    <w:altName w:val="楷体"/>
    <w:panose1 w:val="00000000000000000000"/>
    <w:charset w:val="00"/>
    <w:family w:val="auto"/>
    <w:pitch w:val="default"/>
    <w:sig w:usb0="00000000" w:usb1="00000000" w:usb2="00000000" w:usb3="00000000" w:csb0="00000000" w:csb1="00000000"/>
    <w:embedRegular r:id="rId4" w:fontKey="{E11B1087-3589-4D20-BC7B-0E2D9038D7BC}"/>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00428B"/>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6313</Words>
  <Characters>7412</Characters>
  <Lines>0</Lines>
  <Paragraphs>0</Paragraphs>
  <TotalTime>9</TotalTime>
  <ScaleCrop>false</ScaleCrop>
  <LinksUpToDate>false</LinksUpToDate>
  <CharactersWithSpaces>7431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2025-09-08T04:54:31Z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