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rPr>
        <w:t xml:space="preserve">村级运转经费（上级专项）项目支出</w:t>
      </w: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rPr>
        <w:t xml:space="preserve">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w:t>
      </w:r>
      <w:r>
        <w:rPr>
          <w:rFonts w:ascii="方正小标宋_GBK" w:eastAsia="方正小标宋_GBK" w:hAnsi="黑体" w:cs="仿宋_GB2312" w:hint="eastAsia"/>
          <w:bCs/>
          <w:color w:val="auto"/>
          <w:sz w:val="44"/>
          <w:szCs w:val="44"/>
          <w:highlight w:val="none"/>
          <w:lang w:eastAsia="zh-CN"/>
        </w:rPr>
        <w:t xml:space="preserve">202</w:t>
      </w:r>
      <w:r>
        <w:rPr>
          <w:rFonts w:ascii="方正小标宋_GBK" w:eastAsia="方正小标宋_GBK" w:hAnsi="黑体" w:cs="仿宋_GB2312" w:hint="eastAsia"/>
          <w:bCs/>
          <w:color w:val="auto"/>
          <w:sz w:val="44"/>
          <w:szCs w:val="44"/>
          <w:highlight w:val="none"/>
          <w:lang w:val="en-US" w:eastAsia="zh-CN"/>
        </w:rPr>
        <w:t xml:space="preserve">4</w:t>
      </w:r>
      <w:r>
        <w:rPr>
          <w:rFonts w:ascii="方正小标宋_GBK" w:eastAsia="方正小标宋_GBK" w:hAnsi="黑体" w:cs="仿宋_GB2312" w:hint="eastAsia"/>
          <w:bCs/>
          <w:color w:val="auto"/>
          <w:sz w:val="44"/>
          <w:szCs w:val="44"/>
          <w:highlight w:val="none"/>
        </w:rPr>
        <w:t xml:space="preserve">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lang w:val="en-US" w:eastAsia="zh-CN"/>
        </w:rPr>
      </w:pPr>
      <w:r>
        <w:rPr>
          <w:rFonts w:ascii="黑体" w:eastAsia="黑体" w:hAnsi="黑体" w:cs="仿宋_GB2312" w:hint="eastAsia"/>
          <w:color w:val="auto"/>
          <w:kern w:val="0"/>
          <w:sz w:val="32"/>
          <w:szCs w:val="32"/>
          <w:highlight w:val="none"/>
        </w:rPr>
        <w:t xml:space="preserve">项目名称：村级运转经费（上级专项）</w:t>
      </w:r>
      <w:r>
        <w:rPr>
          <w:rFonts w:ascii="黑体" w:eastAsia="黑体" w:hAnsi="黑体" w:cs="仿宋_GB2312" w:hint="eastAsia"/>
          <w:color w:val="auto"/>
          <w:kern w:val="0"/>
          <w:sz w:val="32"/>
          <w:szCs w:val="32"/>
          <w:highlight w:val="none"/>
          <w:lang w:val="en-US" w:eastAsia="zh-CN"/>
        </w:rPr>
        <w:t xml:space="preserve">项目</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项目单位：阿图什市阿扎克镇人民政府</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主管部门：阿图什市阿扎克镇人民政府</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lang w:eastAsia="zh-CN"/>
        </w:rPr>
        <w:t xml:space="preserve">202</w:t>
      </w:r>
      <w:r>
        <w:rPr>
          <w:rFonts w:ascii="黑体" w:eastAsia="黑体" w:hAnsi="黑体" w:cs="仿宋_GB2312" w:hint="eastAsia"/>
          <w:color w:val="auto"/>
          <w:sz w:val="32"/>
          <w:szCs w:val="32"/>
          <w:highlight w:val="none"/>
          <w:lang w:val="en-US" w:eastAsia="zh-CN"/>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5</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7</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rPr>
        <w:t xml:space="preserve">村级运转经费（上级专项）项目支出</w:t>
      </w: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rPr>
        <w:t xml:space="preserve">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根据自治州“十四五”规划及乡镇工作发展需要，按自治区乡镇工作要求，结合本单位正常运行，秩序稳定等方面管理职能、管理和监督村各项财政收支，管理各类政策性补贴等方面工作职责，按照年度工作计划，开展阿扎克镇人民政府2024年村级运转经费（上级专项）项目</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为了保证地方基层组织的正常运转，更好地促进基层群众工作的协调发展。根据《关于加强村级组织运转经费保障工作的通知》</w:t>
      </w:r>
      <w:r>
        <w:rPr>
          <w:rFonts w:ascii="仿宋_GB2312" w:hAnsi="仿宋" w:cs="宋体" w:hint="eastAsia"/>
          <w:color w:val="auto"/>
          <w:sz w:val="32"/>
          <w:szCs w:val="32"/>
          <w:highlight w:val="none"/>
          <w:lang w:eastAsia="zh-CN"/>
        </w:rPr>
        <w:t xml:space="preserve">《中国共产党农村基层组织工作条例》</w:t>
      </w:r>
      <w:r>
        <w:rPr>
          <w:rFonts w:ascii="仿宋_GB2312" w:hAnsi="仿宋" w:cs="宋体" w:hint="eastAsia"/>
          <w:color w:val="auto"/>
          <w:sz w:val="32"/>
          <w:szCs w:val="32"/>
          <w:highlight w:val="none"/>
        </w:rPr>
        <w:t xml:space="preserve">文件要求，切实保证村级工作经费，进一步落实关于保证村级工作经费规定的具体举措，由村委员会履行各项工作，并让群众工作得到有力保障。</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根据《阿图什市阿扎克镇人民政府工作会议纪要》，本项目资金150万元</w:t>
      </w:r>
      <w:r>
        <w:rPr>
          <w:rFonts w:ascii="仿宋_GB2312" w:hAnsi="仿宋_GB2312" w:cs="仿宋_GB2312" w:hint="eastAsia"/>
          <w:color w:val="auto"/>
          <w:sz w:val="32"/>
          <w:szCs w:val="30"/>
          <w:highlight w:val="none"/>
          <w:lang w:eastAsia="zh-CN"/>
        </w:rPr>
        <w:t xml:space="preserve">，</w:t>
      </w:r>
      <w:r>
        <w:rPr>
          <w:rFonts w:ascii="仿宋_GB2312" w:hAnsi="仿宋_GB2312" w:cs="仿宋_GB2312" w:hint="eastAsia"/>
          <w:color w:val="auto"/>
          <w:sz w:val="32"/>
          <w:szCs w:val="30"/>
          <w:highlight w:val="none"/>
        </w:rPr>
        <w:t xml:space="preserve">用于各村日常运转，支付临聘人员工资劳务费等支出，确保各村日常工作正常开展，提高</w:t>
      </w:r>
      <w:r>
        <w:rPr>
          <w:rFonts w:ascii="仿宋_GB2312" w:hAnsi="仿宋_GB2312" w:cs="仿宋_GB2312" w:hint="eastAsia"/>
          <w:color w:val="auto"/>
          <w:sz w:val="32"/>
          <w:szCs w:val="30"/>
          <w:highlight w:val="none"/>
          <w:lang w:val="en-US" w:eastAsia="zh-CN"/>
        </w:rPr>
        <w:t xml:space="preserve">服务群众工作质量和效率</w:t>
      </w:r>
      <w:r>
        <w:rPr>
          <w:rFonts w:ascii="仿宋_GB2312" w:hAnsi="仿宋_GB2312" w:cs="仿宋_GB2312" w:hint="eastAsia"/>
          <w:color w:val="auto"/>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实施主体：本项目的主管部门为阿图什市阿扎克镇人民政府,实施单位为阿图什市阿扎克镇人民政府，主要职责</w:t>
      </w:r>
      <w:r>
        <w:rPr>
          <w:rFonts w:ascii="仿宋_GB2312" w:hAnsi="仿宋_GB2312" w:cs="仿宋_GB2312" w:hint="eastAsia"/>
          <w:bCs/>
          <w:color w:val="auto"/>
          <w:sz w:val="32"/>
          <w:szCs w:val="30"/>
          <w:highlight w:val="none"/>
          <w:lang w:eastAsia="zh-CN"/>
        </w:rPr>
        <w:t xml:space="preserve">：</w:t>
      </w:r>
      <w:r>
        <w:rPr>
          <w:rFonts w:ascii="仿宋_GB2312" w:hAnsi="仿宋_GB2312" w:cs="仿宋_GB2312" w:hint="eastAsia"/>
          <w:bCs/>
          <w:color w:val="auto"/>
          <w:sz w:val="32"/>
          <w:szCs w:val="30"/>
          <w:highlight w:val="none"/>
        </w:rPr>
        <w:t xml:space="preserve">执行本级人民代表大会决议以及上级国家行政机关的决定和命令；执行全乡的社会和经济发展计划、预算，管理本乡内的经济、教育、科技、文化、卫生、体育事业和财政、民政、治安、人民调解、安全生产监督管理等行政工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w:t>
      </w:r>
      <w:r>
        <w:rPr>
          <w:rFonts w:ascii="仿宋_GB2312" w:hAnsi="仿宋_GB2312" w:cs="仿宋_GB2312" w:hint="eastAsia"/>
          <w:bCs/>
          <w:color w:val="auto"/>
          <w:sz w:val="32"/>
          <w:szCs w:val="30"/>
          <w:highlight w:val="none"/>
          <w:lang w:eastAsia="zh-CN"/>
        </w:rPr>
        <w:t xml:space="preserve">202</w:t>
      </w:r>
      <w:r>
        <w:rPr>
          <w:rFonts w:ascii="仿宋_GB2312" w:hAnsi="仿宋_GB2312" w:cs="仿宋_GB2312" w:hint="eastAsia"/>
          <w:bCs/>
          <w:color w:val="auto"/>
          <w:sz w:val="32"/>
          <w:szCs w:val="30"/>
          <w:highlight w:val="none"/>
          <w:lang w:val="en-US" w:eastAsia="zh-CN"/>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本项目的实施符合《关于加强村级组织运转经费保障工作的通知》</w:t>
      </w:r>
      <w:r>
        <w:rPr>
          <w:rFonts w:ascii="仿宋_GB2312" w:hAnsi="仿宋_GB2312" w:cs="仿宋_GB2312" w:hint="eastAsia"/>
          <w:bCs/>
          <w:color w:val="auto"/>
          <w:sz w:val="32"/>
          <w:szCs w:val="30"/>
          <w:highlight w:val="none"/>
          <w:lang w:eastAsia="zh-CN"/>
        </w:rPr>
        <w:t xml:space="preserve">《中国共产党农村基层组织工作条例》</w:t>
      </w:r>
      <w:r>
        <w:rPr>
          <w:rFonts w:ascii="仿宋_GB2312" w:hAnsi="仿宋_GB2312" w:cs="仿宋_GB2312" w:hint="eastAsia"/>
          <w:bCs/>
          <w:color w:val="auto"/>
          <w:sz w:val="32"/>
          <w:szCs w:val="30"/>
          <w:highlight w:val="none"/>
        </w:rPr>
        <w:t xml:space="preserve">相关政策要求，实际保障行政村数量15个，采购办公用品数量1批，缴纳水电网费12个月，确保各村日常工作正常开展，提高服务群众工作质量和效率。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资金投入情况：本项目总投资150万元，资金来源为本级部门预算</w:t>
      </w:r>
      <w:r>
        <w:rPr>
          <w:rStyle w:val="Strong"/>
          <w:rFonts w:ascii="仿宋_GB2312" w:hAnsi="仿宋_GB2312" w:cs="仿宋_GB2312" w:hint="eastAsia"/>
          <w:b w:val="0"/>
          <w:bCs w:val="0"/>
          <w:color w:val="auto"/>
          <w:spacing w:val="-4"/>
          <w:sz w:val="32"/>
          <w:szCs w:val="30"/>
          <w:highlight w:val="none"/>
          <w:lang w:val="en-US" w:eastAsia="zh-CN"/>
        </w:rPr>
        <w:t xml:space="preserve">资金</w:t>
      </w:r>
      <w:r>
        <w:rPr>
          <w:rStyle w:val="Strong"/>
          <w:rFonts w:ascii="仿宋_GB2312" w:hAnsi="仿宋_GB2312" w:cs="仿宋_GB2312" w:hint="eastAsia"/>
          <w:b w:val="0"/>
          <w:bCs w:val="0"/>
          <w:color w:val="auto"/>
          <w:spacing w:val="-4"/>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资金使用情况：根据项目实施情况，项目资金实际支付119.93万元，资金执行率达到</w:t>
      </w:r>
      <w:r>
        <w:rPr>
          <w:rStyle w:val="Strong"/>
          <w:rFonts w:ascii="仿宋_GB2312" w:hAnsi="仿宋_GB2312" w:cs="仿宋_GB2312" w:hint="eastAsia"/>
          <w:b w:val="0"/>
          <w:color w:val="auto"/>
          <w:spacing w:val="-4"/>
          <w:sz w:val="32"/>
          <w:szCs w:val="30"/>
          <w:highlight w:val="none"/>
          <w:lang w:val="en-US" w:eastAsia="zh-CN"/>
        </w:rPr>
        <w:t xml:space="preserve">80</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采购办公用品及宣传用品服务成本</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61.1257万元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各村日常运转经费成本</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38.2079万元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各村劳务费及聘用人员工资成本</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15.0615万元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各村维修材料及其他服务成本</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5.5368万元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年度总体目标为：根据《阿图什市阿扎克镇人民政府工作会议纪要》，本项目资金150万元，用于各村日常运转，支付临聘人员工资劳务费等支出，确保各村日常工作正常开展，提高服务群众工作质量和效率。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（一）绩效评价目的、对象和范围</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本次绩效评价遵循财政部《项目支出绩效评价管理办法》（财预〔</w:t>
      </w:r>
      <w:r>
        <w:rPr>
          <w:rFonts w:ascii="仿宋_GB2312" w:eastAsia="仿宋_GB2312" w:hAnsi="仿宋_GB2312" w:cs="仿宋_GB2312" w:hint="eastAsia"/>
          <w:color w:val="auto"/>
          <w:sz w:val="32"/>
          <w:szCs w:val="32"/>
          <w:highlight w:val="none"/>
          <w:lang w:eastAsia="zh-CN"/>
        </w:rPr>
        <w:t xml:space="preserve">202</w:t>
      </w:r>
      <w:r>
        <w:rPr>
          <w:rFonts w:ascii="仿宋_GB2312" w:eastAsia="仿宋_GB2312" w:hAnsi="仿宋_GB2312" w:cs="仿宋_GB2312" w:hint="eastAsia"/>
          <w:color w:val="auto"/>
          <w:sz w:val="32"/>
          <w:szCs w:val="32"/>
          <w:highlight w:val="none"/>
          <w:lang w:val="en-US" w:eastAsia="zh-CN"/>
        </w:rPr>
        <w:t xml:space="preserve">0</w:t>
      </w:r>
      <w:r>
        <w:rPr>
          <w:rFonts w:ascii="仿宋_GB2312" w:eastAsia="仿宋_GB2312" w:hAnsi="仿宋_GB2312" w:cs="仿宋_GB2312" w:hint="eastAsia"/>
          <w:color w:val="auto"/>
          <w:sz w:val="32"/>
          <w:szCs w:val="32"/>
          <w:highlight w:val="none"/>
        </w:rPr>
        <w:t xml:space="preserve">〕10号）和自治区财政厅</w:t>
      </w:r>
      <w:r>
        <w:rPr>
          <w:rFonts w:ascii="仿宋_GB2312" w:eastAsia="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eastAsia="仿宋_GB2312" w:hAnsi="仿宋_GB2312" w:cs="仿宋_GB2312" w:hint="eastAsia"/>
          <w:color w:val="auto"/>
          <w:sz w:val="32"/>
          <w:szCs w:val="32"/>
          <w:highlight w:val="none"/>
        </w:rPr>
        <w:t xml:space="preserve">等相关政策文件与规定，</w:t>
      </w:r>
      <w:r>
        <w:rPr>
          <w:rFonts w:ascii="仿宋_GB2312" w:eastAsia="仿宋_GB2312" w:hAnsi="仿宋_GB2312" w:cs="仿宋_GB2312" w:hint="eastAsia"/>
          <w:color w:val="auto"/>
          <w:sz w:val="32"/>
          <w:szCs w:val="32"/>
          <w:highlight w:val="none"/>
          <w:lang w:val="en-US" w:eastAsia="zh-CN"/>
        </w:rPr>
        <w:t xml:space="preserve">绩效评价</w:t>
      </w:r>
      <w:r>
        <w:rPr>
          <w:rFonts w:ascii="仿宋_GB2312" w:eastAsia="仿宋_GB2312" w:hAnsi="仿宋_GB2312" w:cs="仿宋_GB2312" w:hint="eastAsia"/>
          <w:color w:val="auto"/>
          <w:sz w:val="32"/>
          <w:szCs w:val="32"/>
          <w:highlight w:val="none"/>
        </w:rPr>
        <w:t xml:space="preserve">旨在评价</w:t>
      </w:r>
      <w:r>
        <w:rPr>
          <w:rFonts w:ascii="仿宋_GB2312" w:eastAsia="仿宋_GB2312" w:hAnsi="仿宋_GB2312" w:cs="仿宋_GB2312" w:hint="eastAsia"/>
          <w:color w:val="auto"/>
          <w:sz w:val="32"/>
          <w:szCs w:val="32"/>
          <w:highlight w:val="none"/>
          <w:lang w:eastAsia="zh-CN"/>
        </w:rPr>
        <w:t xml:space="preserve">本</w:t>
      </w:r>
      <w:r>
        <w:rPr>
          <w:rFonts w:ascii="仿宋_GB2312" w:eastAsia="仿宋_GB2312" w:hAnsi="仿宋_GB2312" w:cs="仿宋_GB2312" w:hint="eastAsia"/>
          <w:color w:val="auto"/>
          <w:sz w:val="32"/>
          <w:szCs w:val="32"/>
          <w:highlight w:val="none"/>
        </w:rPr>
        <w:t xml:space="preserve">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w:t>
      </w:r>
      <w:r>
        <w:rPr>
          <w:rFonts w:ascii="仿宋_GB2312" w:eastAsia="仿宋_GB2312" w:hAnsi="仿宋_GB2312" w:cs="仿宋_GB2312" w:hint="eastAsia"/>
          <w:color w:val="auto"/>
          <w:sz w:val="32"/>
          <w:szCs w:val="32"/>
          <w:highlight w:val="none"/>
          <w:lang w:eastAsia="zh-CN"/>
        </w:rPr>
        <w:t xml:space="preserve">，</w:t>
      </w:r>
      <w:r>
        <w:rPr>
          <w:rFonts w:ascii="仿宋_GB2312" w:eastAsia="仿宋_GB2312" w:hAnsi="仿宋_GB2312" w:cs="仿宋_GB2312" w:hint="eastAsia"/>
          <w:color w:val="auto"/>
          <w:sz w:val="32"/>
          <w:szCs w:val="32"/>
          <w:highlight w:val="none"/>
        </w:rPr>
        <w:t xml:space="preserve">提升财政资金的使用效能。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年村级运转经费（上级专项）项目从预算编制合理性、资金使用合规性、项目管理的规范性、实施情况、总体绩效目标、各项绩效指标完成情况以及预算执行情况进行科学性评价。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val="0"/>
          <w:color w:val="auto"/>
          <w:sz w:val="32"/>
          <w:highlight w:val="none"/>
        </w:rPr>
      </w:pPr>
      <w:r>
        <w:rPr>
          <w:rFonts w:ascii="楷体" w:eastAsia="楷体" w:hAnsi="楷体" w:cs="仿宋_GB2312" w:hint="eastAsia"/>
          <w:b/>
          <w:bCs w:val="0"/>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w:t>
      </w:r>
      <w:r>
        <w:rPr>
          <w:rFonts w:ascii="仿宋_GB2312" w:hAnsi="仿宋_GB2312" w:cs="仿宋_GB2312" w:hint="eastAsia"/>
          <w:color w:val="auto"/>
          <w:sz w:val="32"/>
          <w:highlight w:val="none"/>
          <w:lang w:eastAsia="zh-CN"/>
        </w:rPr>
        <w:t xml:space="preserve">应用、</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lang w:val="en-US" w:eastAsia="zh-CN"/>
        </w:rPr>
      </w:pPr>
      <w:r>
        <w:rPr>
          <w:rFonts w:ascii="仿宋_GB2312" w:hAnsi="仿宋_GB2312" w:cs="仿宋_GB2312" w:hint="eastAsia"/>
          <w:b/>
          <w:bCs/>
          <w:color w:val="auto"/>
          <w:sz w:val="32"/>
          <w:highlight w:val="none"/>
          <w:lang w:eastAsia="zh-CN"/>
        </w:rPr>
        <w:t xml:space="preserve">2</w:t>
      </w:r>
      <w:r>
        <w:rPr>
          <w:rFonts w:ascii="仿宋_GB2312" w:hAnsi="仿宋_GB2312" w:cs="仿宋_GB2312" w:hint="eastAsia"/>
          <w:b/>
          <w:bCs/>
          <w:color w:val="auto"/>
          <w:sz w:val="32"/>
          <w:highlight w:val="none"/>
        </w:rPr>
        <w:t xml:space="preserve">．</w:t>
      </w:r>
      <w:r>
        <w:rPr>
          <w:rFonts w:ascii="仿宋_GB2312" w:hAnsi="仿宋_GB2312" w:cs="仿宋_GB2312" w:hint="eastAsia"/>
          <w:b/>
          <w:bCs/>
          <w:color w:val="auto"/>
          <w:sz w:val="32"/>
          <w:highlight w:val="none"/>
          <w:lang w:val="en-US" w:eastAsia="zh-CN"/>
        </w:rPr>
        <w:t xml:space="preserve">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eastAsia="zh-CN"/>
        </w:rPr>
      </w:pPr>
      <w:r>
        <w:rPr>
          <w:rFonts w:ascii="仿宋_GB2312" w:hAnsi="仿宋_GB2312" w:cs="仿宋_GB2312" w:hint="eastAsia"/>
          <w:color w:val="auto"/>
          <w:sz w:val="32"/>
          <w:highlight w:val="none"/>
          <w:lang w:val="en-US" w:eastAsia="zh-CN"/>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在对2024年村级运转经费（上级专项）项目的深入调研基础上，按照《项目支出绩效评价管理办法》（财预〔2021〕10号）对于指标体系的要求和规范，建立一套适合评价村级运转经费（上级专项）项目的指标体系，从项目决策、项目过程、项目产出和项目绩效四个维度全面考察村级运转经费（上级专项）项目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eastAsia="仿宋_GB2312" w:hAnsi="仿宋" w:hint="eastAsia"/>
          <w:color w:val="auto"/>
          <w:sz w:val="32"/>
          <w:szCs w:val="32"/>
          <w:highlight w:val="none"/>
        </w:rPr>
      </w:pPr>
      <w:r>
        <w:rPr>
          <w:rFonts w:ascii="仿宋_GB2312" w:hAnsi="仿宋_GB2312" w:cs="仿宋_GB2312" w:hint="eastAsia"/>
          <w:b/>
          <w:bCs/>
          <w:color w:val="auto"/>
          <w:sz w:val="32"/>
          <w:highlight w:val="none"/>
          <w:lang w:val="en-US" w:eastAsia="zh-CN"/>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预算编制科学性</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成本效益分析法</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资金使用合规性：文献法、实地勘察法，一是查找资金管理办法，包括专项资金管理办法和单位自有资金管理办法；二是通过查账了解具体开支情况，是否专用专用，是否按照标准支出。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left="0" w:firstLine="640" w:leftChars="0" w:firstLineChars="200"/>
        <w:contextualSpacing/>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绩效评价标准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村级运转经费（上级专项）项目属于延续项目，</w:t>
      </w:r>
      <w:r>
        <w:rPr>
          <w:rFonts w:ascii="仿宋_GB2312" w:eastAsia="仿宋_GB2312" w:hAnsi="仿宋_GB2312" w:cs="仿宋_GB2312" w:hint="eastAsia"/>
          <w:b w:val="0"/>
          <w:bCs/>
          <w:color w:val="auto"/>
          <w:sz w:val="32"/>
          <w:szCs w:val="24"/>
          <w:highlight w:val="none"/>
          <w:lang w:val="en-US" w:eastAsia="zh-CN" w:bidi="ar-SA"/>
        </w:rPr>
        <w:t xml:space="preserve">有</w:t>
      </w:r>
      <w:r>
        <w:rPr>
          <w:rFonts w:ascii="仿宋_GB2312" w:eastAsia="仿宋_GB2312" w:hAnsi="仿宋_GB2312" w:cs="仿宋_GB2312" w:hint="eastAsia"/>
          <w:color w:val="auto"/>
          <w:sz w:val="32"/>
          <w:szCs w:val="24"/>
          <w:highlight w:val="none"/>
          <w:lang w:val="en-US" w:eastAsia="zh-CN" w:bidi="ar-SA"/>
        </w:rPr>
        <w:t xml:space="preserve">相应的行业标准和历史标准，故采用</w:t>
      </w:r>
      <w:r>
        <w:rPr>
          <w:rFonts w:ascii="仿宋_GB2312" w:eastAsia="仿宋_GB2312" w:hint="eastAsia"/>
          <w:color w:val="auto"/>
          <w:sz w:val="32"/>
          <w:highlight w:val="none"/>
        </w:rPr>
        <w:t xml:space="preserve">计划标准、历史标准</w:t>
      </w:r>
      <w:r>
        <w:rPr>
          <w:rFonts w:ascii="仿宋_GB2312" w:eastAsia="仿宋_GB2312" w:hAnsi="仿宋_GB2312" w:cs="仿宋_GB2312" w:hint="eastAsia"/>
          <w:color w:val="auto"/>
          <w:sz w:val="32"/>
          <w:szCs w:val="24"/>
          <w:highlight w:val="none"/>
          <w:lang w:val="en-US" w:eastAsia="zh-CN" w:bidi="ar-SA"/>
        </w:rPr>
        <w:t xml:space="preserve">评价该项目。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firstLineChars="200"/>
        <w:contextualSpacing/>
        <w:textAlignment w:val="auto"/>
        <w:rPr>
          <w:rFonts w:ascii="楷体" w:eastAsia="楷体" w:hAnsi="楷体" w:cs="仿宋_GB2312" w:hint="eastAsia"/>
          <w:b/>
          <w:bCs/>
          <w:color w:val="auto"/>
          <w:sz w:val="32"/>
          <w:szCs w:val="24"/>
          <w:highlight w:val="none"/>
          <w:lang w:val="en-US" w:eastAsia="zh-CN" w:bidi="ar-SA"/>
        </w:rPr>
      </w:pPr>
      <w:r>
        <w:rPr>
          <w:rFonts w:ascii="楷体" w:eastAsia="楷体" w:hAnsi="楷体" w:cs="仿宋_GB2312" w:hint="eastAsia"/>
          <w:b/>
          <w:bCs/>
          <w:color w:val="auto"/>
          <w:sz w:val="32"/>
          <w:szCs w:val="24"/>
          <w:highlight w:val="none"/>
          <w:lang w:val="en-US" w:eastAsia="zh-CN" w:bidi="ar-SA"/>
        </w:rPr>
        <w:t xml:space="preserve">（三）绩效评价工作过程。</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left="600" w:leftChars="200"/>
        <w:contextualSpacing/>
        <w:textAlignment w:val="auto"/>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1．前期准备</w:t>
      </w:r>
    </w:p>
    <w:p>
      <w:pPr>
        <w:pStyle w:val="标题2"/>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jc w:val="center"/>
        <w:textAlignment w:val="auto"/>
        <w:outlineLvl w:val="9"/>
        <w:rPr>
          <w:b/>
          <w:bCs/>
          <w:color w:val="auto"/>
          <w:highlight w:val="none"/>
        </w:rPr>
      </w:pPr>
      <w:r>
        <w:rPr>
          <w:rFonts w:hint="eastAsia"/>
          <w:b/>
          <w:bCs/>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务</w:t>
            </w:r>
          </w:p>
        </w:tc>
        <w:tc>
          <w:tcPr>
            <w:tcW w:w="3901"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郭亚伟</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王健</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帕提古丽</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村级运转经费（上级专项）项目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2025年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组织管理、产出与效益效果。在此基础上，以相关的项目数据为基础，综合运用不同的评价方法，结合评价标准和评分规则，村级运转经费（上级专项）项目综合得分为97.6分，</w:t>
      </w:r>
      <w:r>
        <w:rPr>
          <w:rFonts w:ascii="仿宋_GB2312" w:eastAsia="仿宋_GB2312" w:hAnsi="Cambria" w:hint="eastAsia"/>
          <w:color w:val="auto"/>
          <w:sz w:val="32"/>
          <w:szCs w:val="32"/>
          <w:highlight w:val="none"/>
        </w:rPr>
        <w:t xml:space="preserve">评价结果为优。</w:t>
      </w:r>
    </w:p>
    <w:p>
      <w:pPr>
        <w:pStyle w:val="Bodytext|1"/>
        <w:spacing w:line="560" w:lineRule="exact"/>
        <w:ind w:firstLine="582" w:firstLineChars="182"/>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zh-CN" w:eastAsia="zh-CN" w:bidi="ar-SA"/>
        </w:rPr>
        <w:t xml:space="preserve">202</w:t>
      </w:r>
      <w:r>
        <w:rPr>
          <w:rFonts w:ascii="仿宋_GB2312" w:eastAsia="仿宋_GB2312" w:hAnsi="仿宋_GB2312" w:cs="仿宋_GB2312" w:hint="eastAsia"/>
          <w:b/>
          <w:color w:val="auto"/>
          <w:sz w:val="32"/>
          <w:szCs w:val="32"/>
          <w:highlight w:val="none"/>
          <w:lang w:val="en-US" w:eastAsia="zh-CN" w:bidi="ar-SA"/>
        </w:rPr>
        <w:t xml:space="preserve">4年村级运转经费（上级专项）项目评价得分情况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35"/>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16</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left"/>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项目预算执行率80%</w:t>
            </w:r>
          </w:p>
        </w:tc>
      </w:tr>
      <w:tr>
        <w:tblPrEx>
          <w:tblW w:w="9309" w:type="dxa"/>
          <w:tblLayout w:type="fixed"/>
          <w:tblCellMar>
            <w:top w:w="0" w:type="dxa"/>
            <w:left w:w="10" w:type="dxa"/>
            <w:bottom w:w="0" w:type="dxa"/>
            <w:right w:w="10" w:type="dxa"/>
          </w:tblCellMar>
        </w:tblPrEx>
        <w:trPr>
          <w:trHeight w:hRule="exact" w:val="857"/>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28.6</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3条成本指标未完成</w:t>
            </w: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97.6</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年村级运转经费（上级专项）项目资金达到了年初设立的绩效目标，在实施过程中取得了良好的成效，具体表现在以下几点：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根据《关于加强村级组织运转经费保障工作的通知》</w:t>
      </w:r>
      <w:r>
        <w:rPr>
          <w:rFonts w:ascii="仿宋_GB2312" w:hAnsi="仿宋_GB2312" w:cs="仿宋_GB2312" w:hint="eastAsia"/>
          <w:color w:val="auto"/>
          <w:sz w:val="32"/>
          <w:szCs w:val="32"/>
          <w:highlight w:val="none"/>
          <w:lang w:eastAsia="zh-CN"/>
        </w:rPr>
        <w:t xml:space="preserve">《中国共产党农村基层组织工作条例》</w:t>
      </w:r>
      <w:r>
        <w:rPr>
          <w:rFonts w:ascii="仿宋_GB2312" w:hAnsi="仿宋_GB2312" w:cs="仿宋_GB2312" w:hint="eastAsia"/>
          <w:color w:val="auto"/>
          <w:sz w:val="32"/>
          <w:szCs w:val="32"/>
          <w:highlight w:val="none"/>
        </w:rPr>
        <w:t xml:space="preserve">相关政策要求，本年度保障行政村数量15个，采购办公用品数量1批，缴纳水电网费12个月，确保各村日常工作正常开展，提高服务群众工作质量和效率。</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eastAsia="仿宋_GB2312" w:hAnsi="仿宋" w:cs="宋体" w:hint="eastAsia"/>
          <w:color w:val="auto"/>
          <w:kern w:val="0"/>
          <w:sz w:val="32"/>
          <w:szCs w:val="32"/>
          <w:highlight w:val="none"/>
          <w:lang w:val="en-US" w:eastAsia="zh-CN" w:bidi="ar-SA"/>
        </w:rPr>
        <w:t xml:space="preserve">村级运转经费（上级专项）项目</w:t>
      </w:r>
      <w:r>
        <w:rPr>
          <w:rFonts w:ascii="仿宋_GB2312" w:hAnsi="仿宋_GB2312" w:cs="仿宋_GB2312" w:hint="eastAsia"/>
          <w:color w:val="auto"/>
          <w:sz w:val="32"/>
          <w:szCs w:val="32"/>
          <w:highlight w:val="none"/>
        </w:rPr>
        <w:t xml:space="preserve">支出共计119.93万元，评价得分值</w:t>
      </w:r>
      <w:r>
        <w:rPr>
          <w:rFonts w:ascii="仿宋_GB2312" w:hAnsi="仿宋_GB2312" w:cs="仿宋_GB2312" w:hint="eastAsia"/>
          <w:color w:val="auto"/>
          <w:sz w:val="32"/>
          <w:szCs w:val="32"/>
          <w:highlight w:val="none"/>
          <w:lang w:val="en-US" w:eastAsia="zh-CN"/>
        </w:rPr>
        <w:t xml:space="preserve">97.6</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w:t>
      </w:r>
      <w:r>
        <w:rPr>
          <w:rFonts w:ascii="仿宋_GB2312" w:hAnsi="仿宋" w:cs="宋体" w:hint="eastAsia"/>
          <w:color w:val="auto"/>
          <w:sz w:val="32"/>
          <w:szCs w:val="32"/>
          <w:highlight w:val="none"/>
          <w:lang w:val="en-US" w:eastAsia="zh-CN"/>
        </w:rPr>
        <w:t xml:space="preserve">严格</w:t>
      </w:r>
      <w:r>
        <w:rPr>
          <w:rFonts w:ascii="仿宋_GB2312" w:hAnsi="仿宋" w:cs="宋体" w:hint="eastAsia"/>
          <w:color w:val="auto"/>
          <w:sz w:val="32"/>
          <w:szCs w:val="32"/>
          <w:highlight w:val="none"/>
        </w:rPr>
        <w:t xml:space="preserve">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w:t>
      </w:r>
      <w:r>
        <w:rPr>
          <w:rFonts w:ascii="仿宋_GB2312" w:hAnsi="仿宋" w:cs="宋体" w:hint="eastAsia"/>
          <w:color w:val="auto"/>
          <w:sz w:val="32"/>
          <w:szCs w:val="32"/>
          <w:highlight w:val="none"/>
          <w:lang w:val="en-US" w:eastAsia="zh-CN"/>
        </w:rPr>
        <w:t xml:space="preserve">绩效目标</w:t>
      </w:r>
      <w:r>
        <w:rPr>
          <w:rFonts w:ascii="仿宋_GB2312" w:hAnsi="仿宋" w:cs="宋体" w:hint="eastAsia"/>
          <w:color w:val="auto"/>
          <w:sz w:val="32"/>
          <w:szCs w:val="32"/>
          <w:highlight w:val="none"/>
        </w:rPr>
        <w:t xml:space="preserve">与实际工作内容相关；项目预期产出效益和效果符合正常的业绩水平；</w:t>
      </w:r>
      <w:r>
        <w:rPr>
          <w:rFonts w:ascii="仿宋_GB2312" w:hAnsi="仿宋" w:cs="宋体" w:hint="eastAsia"/>
          <w:color w:val="auto"/>
          <w:sz w:val="32"/>
          <w:szCs w:val="32"/>
          <w:highlight w:val="none"/>
          <w:lang w:val="en-US" w:eastAsia="zh-CN"/>
        </w:rPr>
        <w:t xml:space="preserve">目标设置</w:t>
      </w:r>
      <w:r>
        <w:rPr>
          <w:rFonts w:ascii="仿宋_GB2312" w:hAnsi="仿宋" w:cs="宋体" w:hint="eastAsia"/>
          <w:color w:val="auto"/>
          <w:sz w:val="32"/>
          <w:szCs w:val="32"/>
          <w:highlight w:val="none"/>
        </w:rPr>
        <w:t xml:space="preserve">与预算确定的项目投资额或资金量相匹配。</w:t>
      </w:r>
      <w:r>
        <w:rPr>
          <w:rFonts w:ascii="仿宋_GB2312" w:hAnsi="仿宋" w:cs="宋体" w:hint="eastAsia"/>
          <w:color w:val="auto"/>
          <w:sz w:val="32"/>
          <w:szCs w:val="32"/>
          <w:highlight w:val="none"/>
          <w:lang w:val="en-US" w:eastAsia="zh-CN"/>
        </w:rPr>
        <w:t xml:space="preserve">严格按照要求</w:t>
      </w:r>
      <w:r>
        <w:rPr>
          <w:rFonts w:ascii="仿宋_GB2312" w:hAnsi="仿宋" w:cs="宋体" w:hint="eastAsia"/>
          <w:color w:val="auto"/>
          <w:sz w:val="32"/>
          <w:szCs w:val="32"/>
          <w:highlight w:val="none"/>
        </w:rPr>
        <w:t xml:space="preserve">将项目绩效目标细化分解为具体的绩效指标</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eastAsia="zh-CN"/>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r>
        <w:rPr>
          <w:rFonts w:ascii="仿宋_GB2312" w:hAnsi="仿宋" w:cs="宋体" w:hint="eastAsia"/>
          <w:color w:val="auto"/>
          <w:sz w:val="32"/>
          <w:szCs w:val="32"/>
          <w:highlight w:val="none"/>
          <w:lang w:eastAsia="zh-CN"/>
        </w:rPr>
        <w:t xml:space="preserve">。</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及时支付，资金使用符合国家法规和财务管理制度；资金拨付有完整的审批程序和手续，符合项目预算批复或合同规定的用途；</w:t>
      </w:r>
      <w:r>
        <w:rPr>
          <w:rFonts w:ascii="仿宋_GB2312" w:hAnsi="仿宋" w:cs="宋体" w:hint="eastAsia"/>
          <w:color w:val="auto"/>
          <w:sz w:val="32"/>
          <w:szCs w:val="32"/>
          <w:highlight w:val="none"/>
          <w:lang w:val="en-US" w:eastAsia="zh-CN"/>
        </w:rPr>
        <w:t xml:space="preserve">不</w:t>
      </w:r>
      <w:r>
        <w:rPr>
          <w:rFonts w:ascii="仿宋_GB2312" w:hAnsi="仿宋" w:cs="宋体" w:hint="eastAsia"/>
          <w:color w:val="auto"/>
          <w:sz w:val="32"/>
          <w:szCs w:val="32"/>
          <w:highlight w:val="none"/>
        </w:rPr>
        <w:t xml:space="preserve">存在截留、挤占、挪用、虚列支出等情况。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5年</w:t>
      </w:r>
      <w:r>
        <w:rPr>
          <w:rFonts w:ascii="仿宋_GB2312" w:hAnsi="仿宋_GB2312" w:cs="仿宋_GB2312" w:hint="eastAsia"/>
          <w:color w:val="auto"/>
          <w:sz w:val="32"/>
          <w:szCs w:val="32"/>
          <w:highlight w:val="none"/>
        </w:rPr>
        <w:t xml:space="preserve">村级运转经费（上级专项）项目预算依据</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继而进行该项目支出预算的编制、执行和上报等工作。在项目预算的编制工程中，坚持履行政府职能方面的轻重缓急程度进行先后排序，坚持对村级运转经费（上级专项）项目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w:t>
      </w:r>
      <w:r>
        <w:rPr>
          <w:rFonts w:ascii="仿宋_GB2312" w:hAnsi="仿宋_GB2312" w:cs="仿宋_GB2312" w:hint="eastAsia"/>
          <w:color w:val="auto"/>
          <w:sz w:val="32"/>
          <w:szCs w:val="32"/>
          <w:highlight w:val="none"/>
          <w:lang w:val="en-US" w:eastAsia="zh-CN"/>
        </w:rPr>
        <w:t xml:space="preserve">阿图什市</w:t>
      </w:r>
      <w:r>
        <w:rPr>
          <w:rFonts w:ascii="仿宋_GB2312" w:hAnsi="仿宋_GB2312" w:cs="仿宋_GB2312" w:hint="eastAsia"/>
          <w:color w:val="auto"/>
          <w:sz w:val="32"/>
          <w:szCs w:val="32"/>
          <w:highlight w:val="none"/>
        </w:rPr>
        <w:t xml:space="preserve">财政局从资金申请、资金使用、会计核算三个环节加强资金管理。在项目资金申请环节，负责科室严格按照国库集中支付流程向市财政局申请财政资金，我局通过召开党组会议确定村级运转经费（上级专项）项目组织形式，明确了该项目经费的开支范围为村级运转</w:t>
      </w:r>
      <w:r>
        <w:rPr>
          <w:rFonts w:ascii="仿宋_GB2312" w:hAnsi="仿宋_GB2312" w:cs="仿宋_GB2312" w:hint="eastAsia"/>
          <w:color w:val="auto"/>
          <w:sz w:val="32"/>
          <w:szCs w:val="32"/>
          <w:highlight w:val="none"/>
          <w:lang w:val="en-US" w:eastAsia="zh-CN"/>
        </w:rPr>
        <w:t xml:space="preserve">支出</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，严格做到专款专用，责任到人。在资金使用环节，严格遵守相关规定，严格按照我局资金财务审批流程办理款项支付。在会计核算环节，对本项目资金实际单独核算，确保</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年初财政批复的</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（4）严格按照政府采购制度规范实施政府采购。对于需要实施政府采购的活动，严格实施、履行采购手续，根据村级运转经费（上级专项）项目</w:t>
      </w:r>
      <w:r>
        <w:rPr>
          <w:rFonts w:ascii="仿宋_GB2312" w:hAnsi="仿宋_GB2312" w:cs="仿宋_GB2312" w:hint="eastAsia"/>
          <w:color w:val="auto"/>
          <w:sz w:val="32"/>
          <w:szCs w:val="32"/>
          <w:highlight w:val="none"/>
          <w:lang w:val="en-US" w:eastAsia="zh-CN"/>
        </w:rPr>
        <w:t xml:space="preserve">需求</w:t>
      </w:r>
      <w:r>
        <w:rPr>
          <w:rFonts w:ascii="仿宋_GB2312" w:hAnsi="仿宋_GB2312" w:cs="仿宋_GB2312" w:hint="eastAsia"/>
          <w:color w:val="auto"/>
          <w:sz w:val="32"/>
          <w:szCs w:val="32"/>
          <w:highlight w:val="none"/>
        </w:rPr>
        <w:t xml:space="preserve">，选择合规可行的采购形式，通过政采云平台下单方式完成采购工作，将采购政策、采购程序、采购过程规范化、透明化，提升村级运转经费（上级专项）</w:t>
      </w:r>
      <w:r>
        <w:rPr>
          <w:rFonts w:ascii="仿宋_GB2312" w:hAnsi="仿宋_GB2312" w:cs="仿宋_GB2312" w:hint="eastAsia"/>
          <w:color w:val="auto"/>
          <w:sz w:val="32"/>
          <w:szCs w:val="32"/>
          <w:highlight w:val="none"/>
          <w:lang w:val="en-US" w:eastAsia="zh-CN"/>
        </w:rPr>
        <w:t xml:space="preserve">项目</w:t>
      </w:r>
      <w:r>
        <w:rPr>
          <w:rFonts w:ascii="仿宋_GB2312" w:hAnsi="仿宋_GB2312" w:cs="仿宋_GB2312" w:hint="eastAsia"/>
          <w:color w:val="auto"/>
          <w:sz w:val="32"/>
          <w:szCs w:val="32"/>
          <w:highlight w:val="none"/>
        </w:rPr>
        <w:t xml:space="preserve">相关资源和</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资金的使用效果。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（5）依照预算资金管理制度，按照不定期检查与项目周期检查相结合的方式，对</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年村级运转经费（上级专项）项目在实施阶段均制定了具体的组织实施文件，各个项目均经过项目申报、项目评审、项目核准备案、</w:t>
      </w:r>
      <w:r>
        <w:rPr>
          <w:rFonts w:ascii="仿宋_GB2312" w:hAnsi="仿宋_GB2312" w:cs="仿宋_GB2312" w:hint="eastAsia"/>
          <w:color w:val="auto"/>
          <w:sz w:val="32"/>
          <w:szCs w:val="32"/>
          <w:highlight w:val="none"/>
          <w:lang w:val="en-US" w:eastAsia="zh-CN"/>
        </w:rPr>
        <w:t xml:space="preserve">政府采购</w:t>
      </w:r>
      <w:r>
        <w:rPr>
          <w:rFonts w:ascii="仿宋_GB2312" w:hAnsi="仿宋_GB2312" w:cs="仿宋_GB2312" w:hint="eastAsia"/>
          <w:color w:val="auto"/>
          <w:sz w:val="32"/>
          <w:szCs w:val="32"/>
          <w:highlight w:val="none"/>
        </w:rPr>
        <w:t xml:space="preserve">、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（三）项目产出情况</w:t>
      </w:r>
    </w:p>
    <w:p>
      <w:pPr>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数量指标为行政村数量，预期指标值是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15个，实际完成值是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15个，指标达到预期目标。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数量指标为采购办公用品数量，预期指标值是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1批，实际完成值是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1批，指标达到预期目标。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数量指标为缴纳水电网费，预期指标值是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12个月，实际完成值是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12个月，指标达到预期目标。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2．</w:t>
      </w:r>
      <w:r>
        <w:rPr>
          <w:rFonts w:ascii="仿宋_GB2312" w:hint="eastAsia"/>
          <w:b/>
          <w:bCs w:val="0"/>
          <w:color w:val="auto"/>
          <w:sz w:val="32"/>
          <w:szCs w:val="32"/>
          <w:highlight w:val="none"/>
        </w:rPr>
        <w:t xml:space="preserve">质量指标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质量指标为办公用品合格率，预期指标值是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600" w:leftChars="200"/>
        <w:jc w:val="both"/>
        <w:textAlignment w:val="auto"/>
        <w:rPr>
          <w:rFonts w:ascii="仿宋_GB2312" w:hint="eastAsia"/>
          <w:b/>
          <w:color w:val="auto"/>
          <w:sz w:val="32"/>
          <w:szCs w:val="32"/>
          <w:highlight w:val="none"/>
        </w:rPr>
      </w:pPr>
      <w:r>
        <w:rPr>
          <w:rFonts w:ascii="仿宋_GB2312" w:hint="eastAsia"/>
          <w:b/>
          <w:bCs/>
          <w:color w:val="auto"/>
          <w:kern w:val="2"/>
          <w:sz w:val="32"/>
          <w:szCs w:val="32"/>
          <w:highlight w:val="none"/>
          <w:lang w:val="en-US" w:eastAsia="zh-CN" w:bidi="ar-SA"/>
        </w:rPr>
        <w:t xml:space="preserve">3</w:t>
      </w:r>
      <w:r>
        <w:rPr>
          <w:rFonts w:ascii="仿宋_GB2312" w:eastAsia="仿宋_GB2312" w:hint="default"/>
          <w:b/>
          <w:bCs/>
          <w:color w:val="auto"/>
          <w:kern w:val="2"/>
          <w:sz w:val="32"/>
          <w:szCs w:val="32"/>
          <w:highlight w:val="none"/>
          <w:lang w:val="en-US" w:eastAsia="zh-CN" w:bidi="ar-SA"/>
        </w:rPr>
        <w:t xml:space="preserve">．</w:t>
      </w:r>
      <w:r>
        <w:rPr>
          <w:rFonts w:ascii="仿宋_GB2312" w:hint="eastAsia"/>
          <w:b/>
          <w:color w:val="auto"/>
          <w:sz w:val="32"/>
          <w:szCs w:val="32"/>
          <w:highlight w:val="none"/>
        </w:rPr>
        <w:t xml:space="preserve">时效指标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600" w:leftChars="200"/>
        <w:jc w:val="both"/>
        <w:textAlignment w:val="auto"/>
        <w:rPr>
          <w:rFonts w:ascii="仿宋_GB2312"/>
          <w:color w:val="auto"/>
          <w:sz w:val="32"/>
          <w:szCs w:val="32"/>
          <w:highlight w:val="none"/>
        </w:rPr>
      </w:pPr>
      <w:r>
        <w:rPr>
          <w:rFonts w:ascii="仿宋_GB2312" w:hint="eastAsia"/>
          <w:color w:val="auto"/>
          <w:sz w:val="32"/>
          <w:szCs w:val="32"/>
          <w:highlight w:val="none"/>
        </w:rPr>
        <w:t xml:space="preserve">时效指标为项目完成时间，预期指标值是2024年12月，实际完成值是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2024年12月，指标达到预期目标。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成本指标为采购办公用品及宣传用品服务成本，预期指标值是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75万元，实际完成值是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61.1257万元，指标未达到预期目标。原因：项目部分支出资料及手续不完整，导致指标未能完成；措施：下一年度做好项目管理工作，及时收集、完善支出资料，减少偏差。</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成本指标为各村日常运转经费成本，预期指标值是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50万元，实际完成值是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38.2079万元，指标未达到预期目标。原因：项目部分支出资料及手续不完整，导致指标未能完成；措施：下一年度做好项目管理工作，及时收集、完善支出资料，减少偏差。</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成本指标为各村劳务费及聘用人员工资成本，预期指标值是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15万元，实际完成值是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15.0615万元，指标达到预期目标。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ascii="仿宋_GB2312" w:hint="eastAsia"/>
          <w:color w:val="auto"/>
          <w:sz w:val="32"/>
          <w:szCs w:val="32"/>
          <w:highlight w:val="none"/>
        </w:rPr>
        <w:t xml:space="preserve">成本指标为各村维修材料及其他服务成本，预期指标值是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10万元，实际完成值是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5.5368万元，指标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达到预期目标。原因：项目部分支出资料及手续不完整，导致指标未能完成；措施：下一年度做好项目管理工作，及时收集、完善支出资料，减少偏差。</w:t>
      </w:r>
    </w:p>
    <w:p>
      <w:pPr>
        <w:pageBreakBefore w:val="0"/>
        <w:widowControl w:val="0"/>
        <w:kinsoku/>
        <w:wordWrap/>
        <w:overflowPunct/>
        <w:topLinePunct w:val="0"/>
        <w:autoSpaceDE/>
        <w:bidi w:val="0"/>
        <w:spacing w:line="560" w:lineRule="exact"/>
        <w:ind w:firstLine="640" w:firstLineChars="200"/>
        <w:jc w:val="both"/>
        <w:textAlignment w:val="auto"/>
        <w:rPr>
          <w:rFonts w:ascii="楷体" w:eastAsia="楷体" w:hAnsi="楷体" w:cs="宋体"/>
          <w:b/>
          <w:bCs w:val="0"/>
          <w:color w:val="auto"/>
          <w:sz w:val="32"/>
          <w:szCs w:val="32"/>
          <w:highlight w:val="none"/>
        </w:rPr>
      </w:pPr>
      <w:r>
        <w:rPr>
          <w:rFonts w:ascii="楷体" w:eastAsia="楷体" w:hAnsi="楷体" w:cs="宋体" w:hint="eastAsia"/>
          <w:b/>
          <w:bCs w:val="0"/>
          <w:color w:val="auto"/>
          <w:sz w:val="32"/>
          <w:szCs w:val="32"/>
          <w:highlight w:val="none"/>
        </w:rPr>
        <w:t xml:space="preserve">（四）项目效益情况</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int="default"/>
          <w:color w:val="auto"/>
          <w:sz w:val="32"/>
          <w:szCs w:val="32"/>
          <w:highlight w:val="none"/>
          <w:lang w:val="en-US"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指标为提升公共服务能力，预期指标值是有效提升，实际完成值是有效提升，指标达到预期目标。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lang w:val="en-US" w:eastAsia="zh-CN"/>
        </w:rPr>
        <w:t xml:space="preserve">4</w:t>
      </w:r>
      <w:r>
        <w:rPr>
          <w:rFonts w:ascii="仿宋_GB2312" w:hAnsi="仿宋" w:cs="宋体" w:hint="eastAsia"/>
          <w:b/>
          <w:bCs/>
          <w:color w:val="auto"/>
          <w:sz w:val="32"/>
          <w:szCs w:val="32"/>
          <w:highlight w:val="none"/>
        </w:rPr>
        <w:t xml:space="preserve">．满意度指标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满意度指标为服务群众满意度，预期指标值是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90%，指标达到预期目标。</w:t>
      </w:r>
    </w:p>
    <w:p>
      <w:pPr>
        <w:pStyle w:val="Heading4"/>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黑体" w:eastAsia="黑体" w:hAnsi="黑体" w:cs="仿宋_GB2312" w:hint="eastAsia"/>
          <w:b w:val="0"/>
          <w:bCs w:val="0"/>
          <w:color w:val="auto"/>
          <w:kern w:val="2"/>
          <w:sz w:val="32"/>
          <w:szCs w:val="32"/>
          <w:highlight w:val="none"/>
          <w:lang w:val="en-US" w:eastAsia="zh-CN" w:bidi="ar-SA"/>
        </w:rPr>
      </w:pPr>
      <w:r>
        <w:rPr>
          <w:rFonts w:ascii="黑体" w:eastAsia="黑体" w:hAnsi="黑体" w:cs="仿宋_GB2312" w:hint="default"/>
          <w:b w:val="0"/>
          <w:bCs w:val="0"/>
          <w:color w:val="auto"/>
          <w:kern w:val="2"/>
          <w:sz w:val="32"/>
          <w:szCs w:val="32"/>
          <w:highlight w:val="none"/>
          <w:lang w:val="en-US" w:eastAsia="zh-CN" w:bidi="ar-SA"/>
        </w:rPr>
        <w:t xml:space="preserve">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本项目实施效果较好的原因主要是管理制度完善、责任落实到位，跟踪考核机制完善且运行有效，在项目实施过程中创新管理办法，使项目取得了良好的效果</w:t>
      </w:r>
      <w:r>
        <w:rPr>
          <w:rFonts w:hint="eastAsia"/>
          <w:b w:val="0"/>
          <w:color w:val="auto"/>
          <w:highlight w:val="none"/>
          <w:lang w:eastAsia="zh-CN"/>
        </w:rPr>
        <w:t xml:space="preserve">。</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color w:val="auto"/>
          <w:sz w:val="36"/>
          <w:szCs w:val="32"/>
          <w:highlight w:val="none"/>
        </w:rPr>
      </w:pPr>
      <w:r>
        <w:rPr>
          <w:rFonts w:hint="eastAsia"/>
          <w:color w:val="auto"/>
          <w:sz w:val="32"/>
          <w:highlight w:val="none"/>
        </w:rPr>
        <w:t xml:space="preserve">本项目全年预算数150万元，执行数119.93万元，执行率</w:t>
      </w:r>
      <w:r>
        <w:rPr>
          <w:rFonts w:hint="eastAsia"/>
          <w:color w:val="auto"/>
          <w:sz w:val="32"/>
          <w:highlight w:val="none"/>
          <w:lang w:val="en-US" w:eastAsia="zh-CN"/>
        </w:rPr>
        <w:t xml:space="preserve">80</w:t>
      </w:r>
      <w:r>
        <w:rPr>
          <w:rFonts w:hint="eastAsia"/>
          <w:color w:val="auto"/>
          <w:sz w:val="32"/>
          <w:highlight w:val="none"/>
        </w:rPr>
        <w:t xml:space="preserve">%，绩效指标完成率</w:t>
      </w:r>
      <w:r>
        <w:rPr>
          <w:rFonts w:hint="eastAsia"/>
          <w:color w:val="auto"/>
          <w:sz w:val="32"/>
          <w:highlight w:val="none"/>
          <w:lang w:val="en-US" w:eastAsia="zh-CN"/>
        </w:rPr>
        <w:t xml:space="preserve">92.2</w:t>
      </w:r>
      <w:r>
        <w:rPr>
          <w:rFonts w:hint="eastAsia"/>
          <w:color w:val="auto"/>
          <w:sz w:val="32"/>
          <w:highlight w:val="none"/>
        </w:rPr>
        <w:t xml:space="preserve">%，偏差率</w:t>
      </w:r>
      <w:r>
        <w:rPr>
          <w:rFonts w:hint="eastAsia"/>
          <w:color w:val="auto"/>
          <w:sz w:val="32"/>
          <w:highlight w:val="none"/>
          <w:lang w:val="en-US" w:eastAsia="zh-CN"/>
        </w:rPr>
        <w:t xml:space="preserve">12.2</w:t>
      </w:r>
      <w:r>
        <w:rPr>
          <w:rFonts w:hint="eastAsia"/>
          <w:color w:val="auto"/>
          <w:sz w:val="32"/>
          <w:highlight w:val="none"/>
        </w:rPr>
        <w:t xml:space="preserve">%。偏差原因：项目部分支出资料支付手续不完整，未能按时拨付资金，根据实际产生及提供的支出资料支付运转经费，因此导致</w:t>
      </w:r>
      <w:r>
        <w:rPr>
          <w:rFonts w:hint="eastAsia"/>
          <w:color w:val="auto"/>
          <w:sz w:val="32"/>
          <w:highlight w:val="none"/>
          <w:lang w:val="en-US" w:eastAsia="zh-CN"/>
        </w:rPr>
        <w:t xml:space="preserve">3</w:t>
      </w:r>
      <w:r>
        <w:rPr>
          <w:rFonts w:hint="eastAsia"/>
          <w:color w:val="auto"/>
          <w:sz w:val="32"/>
          <w:highlight w:val="none"/>
          <w:lang w:eastAsia="zh-CN"/>
        </w:rPr>
        <w:t xml:space="preserve">个</w:t>
      </w:r>
      <w:r>
        <w:rPr>
          <w:rFonts w:hint="eastAsia"/>
          <w:color w:val="auto"/>
          <w:sz w:val="32"/>
          <w:highlight w:val="none"/>
        </w:rPr>
        <w:t xml:space="preserve">成本指标均存在偏差，待提高预算执行进度和工作效率。</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六、有关建议</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开展进度的跟踪，确保项目绩效目标的完成。规范程序，严格把关。进一步完善项目申报、审核、公示、审批等程序，做好项目信息公开，公开内容要及时、完整、真实，确保项目公平、公开、公正。</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七</w:t>
      </w:r>
      <w:r>
        <w:rPr>
          <w:rFonts w:ascii="黑体" w:eastAsia="黑体" w:hAnsi="黑体" w:hint="eastAsia"/>
          <w:b w:val="0"/>
          <w:bCs w:val="0"/>
          <w:color w:val="auto"/>
          <w:highlight w:val="none"/>
        </w:rPr>
        <w:t xml:space="preserve">、其他需要说明的问题</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default"/>
          <w:b w:val="0"/>
          <w:color w:val="auto"/>
          <w:kern w:val="2"/>
          <w:highlight w:val="none"/>
          <w:lang w:val="en-US" w:eastAsia="zh-CN"/>
        </w:rPr>
      </w:pPr>
      <w:r>
        <w:rPr>
          <w:rFonts w:ascii="仿宋_GB2312" w:eastAsia="仿宋_GB2312" w:hAnsi="仿宋" w:cs="宋体" w:hint="eastAsia"/>
          <w:b w:val="0"/>
          <w:color w:val="auto"/>
          <w:kern w:val="2"/>
          <w:highlight w:val="none"/>
          <w:lang w:val="en-US" w:eastAsia="zh-CN"/>
        </w:rPr>
        <w:t xml:space="preserve">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eastAsia"/>
                <w:color w:val="auto"/>
                <w:sz w:val="24"/>
                <w:highlight w:val="none"/>
                <w:lang w:eastAsia="zh-CN"/>
              </w:rPr>
            </w:pPr>
            <w:r>
              <w:rPr>
                <w:rFonts w:ascii="仿宋_GB2312" w:hAnsi="仿宋_GB2312" w:cs="仿宋_GB2312" w:hint="eastAsia"/>
                <w:color w:val="auto"/>
                <w:sz w:val="24"/>
                <w:highlight w:val="none"/>
                <w:lang w:val="en-US" w:eastAsia="zh-CN"/>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5.6</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97.6</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semiHidden="0" w:unhideWhenUsed="0" w:qFormat="1"/>
    <w:lsdException w:name="heading 4" w:semiHidden="0"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Char"/>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nhideWhenUsed/>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unhideWhenUsed/>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Char">
    <w:name w:val="标题 1 Char"/>
    <w:basedOn w:val="DefaultParagraphFont"/>
    <w:link w:val="Heading1"/>
    <w:rPr>
      <w:rFonts w:eastAsia="仿宋_GB2312"/>
      <w:b/>
      <w:bCs/>
      <w:kern w:val="44"/>
      <w:sz w:val="44"/>
      <w:szCs w:val="44"/>
    </w:rPr>
  </w:style>
  <w:style w:type="character" w:customStyle="1" w:styleId="标题2Char">
    <w:name w:val="标题 2 Char"/>
    <w:basedOn w:val="DefaultParagraphFont"/>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4"/>
      </w:numPr>
      <w:spacing w:before="120" w:after="120" w:line="500" w:lineRule="exact"/>
    </w:pPr>
    <w:rPr>
      <w:rFonts w:ascii="仿宋_GB2312" w:eastAsia="仿宋_GB2312" w:cs="Times New Roman"/>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8467E976A8E14845BEB51F06D136A50B_13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5</TotalTime>
  <Pages>20</Pages>
  <Words>8812</Words>
  <Characters>9052</Characters>
  <Application>WPS Office_12.1.0.15120_F1E327BC-269C-435d-A152-05C5408002CA</Application>
  <DocSecurity>0</DocSecurity>
  <Lines>56</Lines>
  <Paragraphs>15</Paragraphs>
  <Company>P R C</Company>
  <CharactersWithSpaces>9062</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62</cp:revision>
  <dcterms:created xsi:type="dcterms:W3CDTF">2020-05-07T10:25:00Z</dcterms:created>
  <dcterms:modified xsi:type="dcterms:W3CDTF">2025-09-05T07:56:00Z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8467E976A8E14845BEB51F06D136A50B_13</vt:lpwstr>
  </property>
  <property fmtid="{D5CDD505-2E9C-101B-9397-08002B2CF9AE}" pid="4" name="KSOTemplateDocerSaveRecord">
    <vt:lpwstr>eyJoZGlkIjoiYzZkNzQ4ZWFiZmQ4NTRhOWRkZTk3YTMwMjlmMmZhYmUiLCJ1c2VySWQiOiI1NzgxMjU4NDIifQ_x003D__x003D_</vt:lpwstr>
  </property>
</Properties>
</file>