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服务群众专项经费项目支出</w:t>
      </w: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w:t>
      </w:r>
      <w:r>
        <w:rPr>
          <w:rFonts w:hint="eastAsia" w:ascii="方正小标宋_GBK" w:hAnsi="黑体" w:eastAsia="方正小标宋_GBK" w:cs="仿宋_GB2312"/>
          <w:bCs/>
          <w:color w:val="auto"/>
          <w:sz w:val="44"/>
          <w:szCs w:val="44"/>
          <w:highlight w:val="none"/>
          <w:lang w:eastAsia="zh-CN"/>
        </w:rPr>
        <w:t>202</w:t>
      </w:r>
      <w:r>
        <w:rPr>
          <w:rFonts w:hint="eastAsia" w:ascii="方正小标宋_GBK" w:hAnsi="黑体" w:eastAsia="方正小标宋_GBK" w:cs="仿宋_GB2312"/>
          <w:bCs/>
          <w:color w:val="auto"/>
          <w:sz w:val="44"/>
          <w:szCs w:val="44"/>
          <w:highlight w:val="none"/>
          <w:lang w:val="en-US" w:eastAsia="zh-CN"/>
        </w:rPr>
        <w:t>4</w:t>
      </w:r>
      <w:r>
        <w:rPr>
          <w:rFonts w:hint="eastAsia" w:ascii="方正小标宋_GBK" w:hAnsi="黑体" w:eastAsia="方正小标宋_GBK" w:cs="仿宋_GB2312"/>
          <w:bCs/>
          <w:color w:val="auto"/>
          <w:sz w:val="44"/>
          <w:szCs w:val="44"/>
          <w:highlight w:val="none"/>
        </w:rPr>
        <w:t>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lang w:val="en-US" w:eastAsia="zh-CN"/>
        </w:rPr>
      </w:pPr>
      <w:r>
        <w:rPr>
          <w:rFonts w:hint="eastAsia" w:ascii="黑体" w:hAnsi="黑体" w:eastAsia="黑体" w:cs="仿宋_GB2312"/>
          <w:color w:val="auto"/>
          <w:kern w:val="0"/>
          <w:sz w:val="32"/>
          <w:szCs w:val="32"/>
          <w:highlight w:val="none"/>
        </w:rPr>
        <w:t>项目名称：服务群众专项经费</w:t>
      </w:r>
      <w:r>
        <w:rPr>
          <w:rFonts w:hint="eastAsia" w:ascii="黑体" w:hAnsi="黑体" w:eastAsia="黑体" w:cs="仿宋_GB2312"/>
          <w:color w:val="auto"/>
          <w:kern w:val="0"/>
          <w:sz w:val="32"/>
          <w:szCs w:val="32"/>
          <w:highlight w:val="none"/>
          <w:lang w:val="en-US" w:eastAsia="zh-CN"/>
        </w:rPr>
        <w:t>项目</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项目单位：阿图什市格达良乡人民政府</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主管部门：阿图什市格达良乡人民政府</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lang w:eastAsia="zh-CN"/>
        </w:rPr>
        <w:t>202</w:t>
      </w:r>
      <w:r>
        <w:rPr>
          <w:rFonts w:hint="eastAsia" w:ascii="黑体" w:hAnsi="黑体" w:eastAsia="黑体" w:cs="仿宋_GB2312"/>
          <w:color w:val="auto"/>
          <w:sz w:val="32"/>
          <w:szCs w:val="32"/>
          <w:highlight w:val="none"/>
          <w:lang w:val="en-US" w:eastAsia="zh-CN"/>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28</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阿图什市格达良乡人民政府项目支出</w:t>
      </w: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 w:eastAsia="仿宋_GB2312" w:cs="宋体"/>
          <w:color w:val="auto"/>
          <w:sz w:val="32"/>
          <w:szCs w:val="32"/>
          <w:highlight w:val="none"/>
          <w:lang w:val="en-US" w:eastAsia="zh-CN"/>
        </w:rPr>
      </w:pPr>
      <w:r>
        <w:rPr>
          <w:rFonts w:hint="eastAsia" w:ascii="仿宋_GB2312" w:hAnsi="仿宋" w:cs="宋体"/>
          <w:color w:val="auto"/>
          <w:sz w:val="32"/>
          <w:szCs w:val="32"/>
          <w:highlight w:val="none"/>
        </w:rPr>
        <w:t>根据自治州“十四五”规划及乡镇工作发展需要，按自治区乡镇工作要求，结合本单位正常运行，秩序等方面管理职能、管理和监督村各项财政收支，管理各类政策性补贴等方面工作职责，按照年度工作计划，开展格达良乡人民政府202</w:t>
      </w:r>
      <w:r>
        <w:rPr>
          <w:rFonts w:hint="eastAsia" w:ascii="仿宋_GB2312" w:hAnsi="仿宋" w:cs="宋体"/>
          <w:color w:val="auto"/>
          <w:sz w:val="32"/>
          <w:szCs w:val="32"/>
          <w:highlight w:val="none"/>
          <w:lang w:val="en-US" w:eastAsia="zh-CN"/>
        </w:rPr>
        <w:t>4</w:t>
      </w:r>
      <w:r>
        <w:rPr>
          <w:rFonts w:hint="eastAsia" w:ascii="仿宋_GB2312" w:hAnsi="仿宋" w:cs="宋体"/>
          <w:color w:val="auto"/>
          <w:sz w:val="32"/>
          <w:szCs w:val="32"/>
          <w:highlight w:val="none"/>
        </w:rPr>
        <w:t>年度服务群众专项经费项目</w:t>
      </w:r>
      <w:r>
        <w:rPr>
          <w:rFonts w:hint="eastAsia" w:ascii="仿宋_GB2312" w:hAnsi="仿宋" w:cs="宋体"/>
          <w:color w:val="auto"/>
          <w:sz w:val="32"/>
          <w:szCs w:val="32"/>
          <w:highlight w:val="none"/>
          <w:lang w:val="en-US" w:eastAsia="zh-CN"/>
        </w:rPr>
        <w:t>。</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为了保证地方基层组织的正常运转，更好地促进基层群众工作的协调发展。根据《关于加强村级组织运转经费保障工作的通知》《中国共产党农村基层组织工作条例》切实保证服务群众工作经费，</w:t>
      </w:r>
      <w:r>
        <w:rPr>
          <w:rFonts w:hint="eastAsia" w:ascii="仿宋_GB2312" w:hAnsi="仿宋" w:cs="宋体"/>
          <w:color w:val="auto"/>
          <w:sz w:val="32"/>
          <w:szCs w:val="32"/>
          <w:highlight w:val="none"/>
          <w:lang w:val="en-US" w:eastAsia="zh-CN"/>
        </w:rPr>
        <w:t>是</w:t>
      </w:r>
      <w:r>
        <w:rPr>
          <w:rFonts w:hint="eastAsia" w:ascii="仿宋_GB2312" w:hAnsi="仿宋" w:cs="宋体"/>
          <w:color w:val="auto"/>
          <w:sz w:val="32"/>
          <w:szCs w:val="32"/>
          <w:highlight w:val="none"/>
        </w:rPr>
        <w:t>进一步落实关于保证服务群众经费规定的具体举措，</w:t>
      </w:r>
      <w:r>
        <w:rPr>
          <w:rFonts w:hint="eastAsia" w:ascii="仿宋_GB2312" w:hAnsi="仿宋" w:cs="宋体"/>
          <w:color w:val="auto"/>
          <w:sz w:val="32"/>
          <w:szCs w:val="32"/>
          <w:highlight w:val="none"/>
          <w:lang w:val="en-US" w:eastAsia="zh-CN"/>
        </w:rPr>
        <w:t>是</w:t>
      </w:r>
      <w:r>
        <w:rPr>
          <w:rFonts w:hint="eastAsia" w:ascii="仿宋_GB2312" w:hAnsi="仿宋" w:cs="宋体"/>
          <w:color w:val="auto"/>
          <w:sz w:val="32"/>
          <w:szCs w:val="32"/>
          <w:highlight w:val="none"/>
        </w:rPr>
        <w:t>基层组织履行服务群众工作的有力保障。</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根据《格达良乡202</w:t>
      </w:r>
      <w:r>
        <w:rPr>
          <w:rFonts w:hint="eastAsia" w:ascii="仿宋_GB2312" w:hAnsi="仿宋_GB2312" w:cs="仿宋_GB2312"/>
          <w:color w:val="auto"/>
          <w:sz w:val="32"/>
          <w:szCs w:val="30"/>
          <w:highlight w:val="none"/>
          <w:lang w:val="en-US" w:eastAsia="zh-CN"/>
        </w:rPr>
        <w:t>4</w:t>
      </w:r>
      <w:r>
        <w:rPr>
          <w:rFonts w:hint="eastAsia" w:ascii="仿宋_GB2312" w:hAnsi="仿宋_GB2312" w:cs="仿宋_GB2312"/>
          <w:color w:val="auto"/>
          <w:sz w:val="32"/>
          <w:szCs w:val="30"/>
          <w:highlight w:val="none"/>
        </w:rPr>
        <w:t>年预算编制工作会议纪要》项目计划投入90万元，资金用于保障9个行政村服务群众工作顺利开展，行政村服务群众补助资金10万元/村。项目实施后</w:t>
      </w:r>
      <w:r>
        <w:rPr>
          <w:rFonts w:hint="eastAsia" w:ascii="仿宋_GB2312" w:hAnsi="仿宋_GB2312" w:cs="仿宋_GB2312"/>
          <w:color w:val="auto"/>
          <w:sz w:val="32"/>
          <w:szCs w:val="30"/>
          <w:highlight w:val="none"/>
          <w:lang w:val="en-US" w:eastAsia="zh-CN"/>
        </w:rPr>
        <w:t>，</w:t>
      </w:r>
      <w:r>
        <w:rPr>
          <w:rFonts w:hint="eastAsia" w:ascii="仿宋_GB2312" w:hAnsi="仿宋_GB2312" w:cs="仿宋_GB2312"/>
          <w:color w:val="auto"/>
          <w:sz w:val="32"/>
          <w:szCs w:val="30"/>
          <w:highlight w:val="none"/>
        </w:rPr>
        <w:t>将不断提高群众生活的满足感、幸福感和获得感，多措并举开展文娱活动，丰富群众精神文化生活。</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实施主体：本项目的主管部门为阿图什市格达良乡人民政府,实施单位为阿图什市格达良乡人民政府，主要职责</w:t>
      </w:r>
      <w:r>
        <w:rPr>
          <w:rFonts w:hint="eastAsia" w:ascii="仿宋_GB2312" w:hAnsi="仿宋_GB2312" w:cs="仿宋_GB2312"/>
          <w:bCs/>
          <w:color w:val="auto"/>
          <w:sz w:val="32"/>
          <w:szCs w:val="30"/>
          <w:highlight w:val="none"/>
          <w:lang w:eastAsia="zh-CN"/>
        </w:rPr>
        <w:t>：</w:t>
      </w:r>
      <w:r>
        <w:rPr>
          <w:rFonts w:hint="eastAsia" w:ascii="仿宋_GB2312" w:hAnsi="仿宋_GB2312" w:cs="仿宋_GB2312"/>
          <w:bCs/>
          <w:color w:val="auto"/>
          <w:sz w:val="32"/>
          <w:szCs w:val="30"/>
          <w:highlight w:val="none"/>
        </w:rPr>
        <w:t>执行本级人民代表大会决议以及上级国家行政机关的决定和命令；执行全乡的社会和经济发展计划、预算，管理本乡内的经济、教育、科技、文化、卫生、体育事业和财政、民政、治安、人民调解、安全生产监督管理等行政工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w:t>
      </w:r>
      <w:r>
        <w:rPr>
          <w:rFonts w:hint="eastAsia" w:ascii="仿宋_GB2312" w:hAnsi="仿宋_GB2312" w:cs="仿宋_GB2312"/>
          <w:bCs/>
          <w:color w:val="auto"/>
          <w:sz w:val="32"/>
          <w:szCs w:val="30"/>
          <w:highlight w:val="none"/>
          <w:lang w:eastAsia="zh-CN"/>
        </w:rPr>
        <w:t>202</w:t>
      </w:r>
      <w:r>
        <w:rPr>
          <w:rFonts w:hint="eastAsia" w:ascii="仿宋_GB2312" w:hAnsi="仿宋_GB2312" w:cs="仿宋_GB2312"/>
          <w:bCs/>
          <w:color w:val="auto"/>
          <w:sz w:val="32"/>
          <w:szCs w:val="30"/>
          <w:highlight w:val="none"/>
          <w:lang w:val="en-US" w:eastAsia="zh-CN"/>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本项目的实施符合《关于加强村级组织运转经费保障工作的通知》《中国共产党农村基层组织工作条例》相关政策要求，</w:t>
      </w:r>
      <w:r>
        <w:rPr>
          <w:rFonts w:hint="eastAsia" w:ascii="仿宋_GB2312" w:hAnsi="仿宋_GB2312" w:cs="仿宋_GB2312"/>
          <w:bCs/>
          <w:color w:val="auto"/>
          <w:sz w:val="32"/>
          <w:szCs w:val="30"/>
          <w:highlight w:val="none"/>
          <w:lang w:val="en-US" w:eastAsia="zh-CN"/>
        </w:rPr>
        <w:t>本年度</w:t>
      </w:r>
      <w:r>
        <w:rPr>
          <w:rFonts w:hint="eastAsia" w:ascii="仿宋_GB2312" w:hAnsi="仿宋_GB2312" w:cs="仿宋_GB2312"/>
          <w:bCs/>
          <w:color w:val="auto"/>
          <w:sz w:val="32"/>
          <w:szCs w:val="30"/>
          <w:highlight w:val="none"/>
        </w:rPr>
        <w:t>切实保证服务群众工作经费，实际已保障行政村数量9个</w:t>
      </w:r>
      <w:r>
        <w:rPr>
          <w:rFonts w:hint="eastAsia" w:ascii="仿宋_GB2312" w:hAnsi="仿宋_GB2312" w:cs="仿宋_GB2312"/>
          <w:bCs/>
          <w:color w:val="auto"/>
          <w:sz w:val="32"/>
          <w:szCs w:val="30"/>
          <w:highlight w:val="none"/>
          <w:lang w:val="en-US" w:eastAsia="zh-CN"/>
        </w:rPr>
        <w:t>,</w:t>
      </w:r>
      <w:r>
        <w:rPr>
          <w:rFonts w:hint="eastAsia" w:ascii="仿宋_GB2312" w:hAnsi="仿宋_GB2312" w:cs="仿宋_GB2312"/>
          <w:bCs/>
          <w:color w:val="auto"/>
          <w:sz w:val="32"/>
          <w:szCs w:val="30"/>
          <w:highlight w:val="none"/>
        </w:rPr>
        <w:t>不断提高</w:t>
      </w:r>
      <w:r>
        <w:rPr>
          <w:rFonts w:hint="eastAsia" w:ascii="仿宋_GB2312" w:hAnsi="仿宋_GB2312" w:cs="仿宋_GB2312"/>
          <w:bCs/>
          <w:color w:val="auto"/>
          <w:sz w:val="32"/>
          <w:szCs w:val="30"/>
          <w:highlight w:val="none"/>
          <w:lang w:val="en-US" w:eastAsia="zh-CN"/>
        </w:rPr>
        <w:t>服务</w:t>
      </w:r>
      <w:r>
        <w:rPr>
          <w:rFonts w:hint="eastAsia" w:ascii="仿宋_GB2312" w:hAnsi="仿宋_GB2312" w:cs="仿宋_GB2312"/>
          <w:bCs/>
          <w:color w:val="auto"/>
          <w:sz w:val="32"/>
          <w:szCs w:val="30"/>
          <w:highlight w:val="none"/>
        </w:rPr>
        <w:t>群众</w:t>
      </w:r>
      <w:r>
        <w:rPr>
          <w:rFonts w:hint="eastAsia" w:ascii="仿宋_GB2312" w:hAnsi="仿宋_GB2312" w:cs="仿宋_GB2312"/>
          <w:bCs/>
          <w:color w:val="auto"/>
          <w:sz w:val="32"/>
          <w:szCs w:val="30"/>
          <w:highlight w:val="none"/>
          <w:lang w:val="en-US" w:eastAsia="zh-CN"/>
        </w:rPr>
        <w:t>工作质量，让群众得到</w:t>
      </w:r>
      <w:r>
        <w:rPr>
          <w:rFonts w:hint="eastAsia" w:ascii="仿宋_GB2312" w:hAnsi="仿宋_GB2312" w:cs="仿宋_GB2312"/>
          <w:bCs/>
          <w:color w:val="auto"/>
          <w:sz w:val="32"/>
          <w:szCs w:val="30"/>
          <w:highlight w:val="none"/>
        </w:rPr>
        <w:t>满足感、幸福感和获得感，多措并举开展文娱活动，丰富群众精神文化生活。</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资金投入情况：本项目总投资90万元，资金来源为本级部门预算</w:t>
      </w:r>
      <w:r>
        <w:rPr>
          <w:rStyle w:val="11"/>
          <w:rFonts w:hint="eastAsia" w:ascii="仿宋_GB2312" w:hAnsi="仿宋_GB2312" w:cs="仿宋_GB2312"/>
          <w:b w:val="0"/>
          <w:bCs w:val="0"/>
          <w:color w:val="auto"/>
          <w:spacing w:val="-4"/>
          <w:sz w:val="32"/>
          <w:szCs w:val="30"/>
          <w:highlight w:val="none"/>
          <w:lang w:val="en-US" w:eastAsia="zh-CN"/>
        </w:rPr>
        <w:t>资金</w:t>
      </w:r>
      <w:r>
        <w:rPr>
          <w:rStyle w:val="11"/>
          <w:rFonts w:hint="eastAsia" w:ascii="仿宋_GB2312" w:hAnsi="仿宋_GB2312" w:cs="仿宋_GB2312"/>
          <w:b w:val="0"/>
          <w:bCs w:val="0"/>
          <w:color w:val="auto"/>
          <w:spacing w:val="-4"/>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资金使用情况：根据项目实施情况，项目资金实际支付89.98万元，资金执行率达到</w:t>
      </w:r>
      <w:r>
        <w:rPr>
          <w:rStyle w:val="11"/>
          <w:rFonts w:hint="eastAsia" w:ascii="仿宋_GB2312" w:hAnsi="仿宋_GB2312" w:cs="仿宋_GB2312"/>
          <w:b w:val="0"/>
          <w:color w:val="auto"/>
          <w:spacing w:val="-4"/>
          <w:sz w:val="32"/>
          <w:szCs w:val="30"/>
          <w:highlight w:val="none"/>
          <w:lang w:val="en-US" w:eastAsia="zh-CN"/>
        </w:rPr>
        <w:t>99.97</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eastAsia="仿宋_GB2312"/>
          <w:b w:val="0"/>
          <w:color w:val="auto"/>
          <w:spacing w:val="-4"/>
          <w:sz w:val="32"/>
          <w:highlight w:val="none"/>
          <w:lang w:val="en-US" w:eastAsia="zh-CN"/>
        </w:rPr>
      </w:pPr>
      <w:r>
        <w:rPr>
          <w:rStyle w:val="11"/>
          <w:rFonts w:hint="eastAsia" w:ascii="仿宋_GB2312"/>
          <w:b w:val="0"/>
          <w:color w:val="auto"/>
          <w:spacing w:val="-4"/>
          <w:sz w:val="32"/>
          <w:highlight w:val="none"/>
        </w:rPr>
        <w:t>服务群众资金标准10万元/</w:t>
      </w:r>
      <w:r>
        <w:rPr>
          <w:rStyle w:val="11"/>
          <w:rFonts w:hint="eastAsia" w:ascii="仿宋_GB2312"/>
          <w:b w:val="0"/>
          <w:color w:val="auto"/>
          <w:spacing w:val="-4"/>
          <w:sz w:val="32"/>
          <w:highlight w:val="none"/>
          <w:lang w:val="en-US" w:eastAsia="zh-CN"/>
        </w:rPr>
        <w:t>村，共计支出</w:t>
      </w:r>
      <w:r>
        <w:rPr>
          <w:rStyle w:val="11"/>
          <w:rFonts w:hint="eastAsia" w:ascii="仿宋_GB2312" w:hAnsi="仿宋_GB2312" w:cs="仿宋_GB2312"/>
          <w:b w:val="0"/>
          <w:color w:val="auto"/>
          <w:spacing w:val="-4"/>
          <w:sz w:val="32"/>
          <w:szCs w:val="30"/>
          <w:highlight w:val="none"/>
        </w:rPr>
        <w:t>89.98</w:t>
      </w:r>
      <w:r>
        <w:rPr>
          <w:rStyle w:val="11"/>
          <w:rFonts w:hint="eastAsia" w:ascii="仿宋_GB2312" w:hAnsi="仿宋_GB2312" w:cs="仿宋_GB2312"/>
          <w:b w:val="0"/>
          <w:color w:val="auto"/>
          <w:spacing w:val="-4"/>
          <w:sz w:val="32"/>
          <w:szCs w:val="30"/>
          <w:highlight w:val="none"/>
          <w:lang w:val="en-US" w:eastAsia="zh-CN"/>
        </w:rPr>
        <w:t>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根据《格达良乡2024年预算编制工作会议纪要》项目计划投入90万元，资金用于保障9个行政村服务群众工作顺利开展，行政村服务群众补助资金10万元/村。项目实施后，将不断提高群众生活的满足感、幸福感和获得感，多措并举开展文娱活动，丰富群众精神文化生活。</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（一）绩效评价目的、对象和范围</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3" w:firstLineChars="200"/>
        <w:contextualSpacing/>
        <w:jc w:val="both"/>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本次绩效评价遵循财政部《项目支出绩效评价管理办法》（财预〔</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〕10号）和自治区财政厅</w:t>
      </w:r>
      <w:r>
        <w:rPr>
          <w:rFonts w:hint="eastAsia" w:ascii="仿宋_GB2312" w:hAnsi="仿宋_GB2312" w:eastAsia="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eastAsia="仿宋_GB2312" w:cs="仿宋_GB2312"/>
          <w:color w:val="auto"/>
          <w:sz w:val="32"/>
          <w:szCs w:val="32"/>
          <w:highlight w:val="none"/>
        </w:rPr>
        <w:t>等相关政策文件</w:t>
      </w:r>
      <w:r>
        <w:rPr>
          <w:rFonts w:hint="eastAsia" w:ascii="仿宋_GB2312" w:hAnsi="仿宋_GB2312" w:cs="仿宋_GB2312"/>
          <w:color w:val="auto"/>
          <w:sz w:val="32"/>
          <w:szCs w:val="32"/>
          <w:highlight w:val="none"/>
          <w:lang w:eastAsia="zh-CN"/>
        </w:rPr>
        <w:t>和</w:t>
      </w:r>
      <w:r>
        <w:rPr>
          <w:rFonts w:hint="eastAsia" w:ascii="仿宋_GB2312" w:hAnsi="仿宋_GB2312" w:eastAsia="仿宋_GB2312" w:cs="仿宋_GB2312"/>
          <w:color w:val="auto"/>
          <w:sz w:val="32"/>
          <w:szCs w:val="32"/>
          <w:highlight w:val="none"/>
        </w:rPr>
        <w:t>规定，</w:t>
      </w:r>
      <w:r>
        <w:rPr>
          <w:rFonts w:hint="eastAsia" w:ascii="仿宋_GB2312" w:hAnsi="仿宋_GB2312" w:eastAsia="仿宋_GB2312" w:cs="仿宋_GB2312"/>
          <w:color w:val="auto"/>
          <w:sz w:val="32"/>
          <w:szCs w:val="32"/>
          <w:highlight w:val="none"/>
          <w:lang w:val="en-US" w:eastAsia="zh-CN"/>
        </w:rPr>
        <w:t>绩效评价</w:t>
      </w:r>
      <w:r>
        <w:rPr>
          <w:rFonts w:hint="eastAsia" w:ascii="仿宋_GB2312" w:hAnsi="仿宋_GB2312" w:eastAsia="仿宋_GB2312" w:cs="仿宋_GB2312"/>
          <w:color w:val="auto"/>
          <w:sz w:val="32"/>
          <w:szCs w:val="32"/>
          <w:highlight w:val="none"/>
        </w:rPr>
        <w:t>旨在评价</w:t>
      </w:r>
      <w:r>
        <w:rPr>
          <w:rFonts w:hint="eastAsia" w:ascii="仿宋_GB2312" w:hAnsi="仿宋_GB2312" w:eastAsia="仿宋_GB2312" w:cs="仿宋_GB2312"/>
          <w:color w:val="auto"/>
          <w:sz w:val="32"/>
          <w:szCs w:val="32"/>
          <w:highlight w:val="none"/>
          <w:lang w:eastAsia="zh-CN"/>
        </w:rPr>
        <w:t>本</w:t>
      </w:r>
      <w:r>
        <w:rPr>
          <w:rFonts w:hint="eastAsia" w:ascii="仿宋_GB2312" w:hAnsi="仿宋_GB2312" w:eastAsia="仿宋_GB2312" w:cs="仿宋_GB2312"/>
          <w:color w:val="auto"/>
          <w:sz w:val="32"/>
          <w:szCs w:val="32"/>
          <w:highlight w:val="none"/>
        </w:rPr>
        <w:t>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提升财政资金的使用效能。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年服务群众专项经费项目从预算编制合理性、资金使用合规性、项目管理的规范性、实施情况、总体绩效目标、各项绩效指标完成情况以及预算执行情况进行科学性评价。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val="0"/>
          <w:color w:val="auto"/>
          <w:sz w:val="32"/>
          <w:highlight w:val="none"/>
        </w:rPr>
      </w:pPr>
      <w:r>
        <w:rPr>
          <w:rFonts w:hint="eastAsia" w:ascii="楷体" w:hAnsi="楷体" w:eastAsia="楷体" w:cs="仿宋_GB2312"/>
          <w:b/>
          <w:bCs w:val="0"/>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w:t>
      </w:r>
      <w:r>
        <w:rPr>
          <w:rFonts w:hint="eastAsia" w:ascii="仿宋_GB2312" w:hAnsi="仿宋_GB2312" w:cs="仿宋_GB2312"/>
          <w:color w:val="auto"/>
          <w:sz w:val="32"/>
          <w:highlight w:val="none"/>
          <w:lang w:eastAsia="zh-CN"/>
        </w:rPr>
        <w:t>应</w:t>
      </w:r>
      <w:r>
        <w:rPr>
          <w:rFonts w:hint="eastAsia" w:ascii="仿宋_GB2312" w:hAnsi="仿宋_GB2312" w:cs="仿宋_GB2312"/>
          <w:color w:val="auto"/>
          <w:sz w:val="32"/>
          <w:highlight w:val="none"/>
        </w:rPr>
        <w:t>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lang w:val="en-US" w:eastAsia="zh-CN"/>
        </w:rPr>
      </w:pPr>
      <w:r>
        <w:rPr>
          <w:rFonts w:hint="eastAsia" w:ascii="仿宋_GB2312" w:hAnsi="仿宋_GB2312" w:cs="仿宋_GB2312"/>
          <w:b/>
          <w:bCs/>
          <w:color w:val="auto"/>
          <w:sz w:val="32"/>
          <w:highlight w:val="none"/>
          <w:lang w:eastAsia="zh-CN"/>
        </w:rPr>
        <w:t>2</w:t>
      </w:r>
      <w:r>
        <w:rPr>
          <w:rFonts w:hint="eastAsia" w:ascii="仿宋_GB2312" w:hAnsi="仿宋_GB2312" w:cs="仿宋_GB2312"/>
          <w:b/>
          <w:bCs/>
          <w:color w:val="auto"/>
          <w:sz w:val="32"/>
          <w:highlight w:val="none"/>
        </w:rPr>
        <w:t>．</w:t>
      </w:r>
      <w:r>
        <w:rPr>
          <w:rFonts w:hint="eastAsia" w:ascii="仿宋_GB2312" w:hAnsi="仿宋_GB2312" w:cs="仿宋_GB2312"/>
          <w:b/>
          <w:bCs/>
          <w:color w:val="auto"/>
          <w:sz w:val="32"/>
          <w:highlight w:val="none"/>
          <w:lang w:val="en-US" w:eastAsia="zh-CN"/>
        </w:rPr>
        <w:t>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eastAsia="zh-CN"/>
        </w:rPr>
      </w:pPr>
      <w:r>
        <w:rPr>
          <w:rFonts w:hint="eastAsia" w:ascii="仿宋_GB2312" w:hAnsi="仿宋_GB2312" w:cs="仿宋_GB2312"/>
          <w:color w:val="auto"/>
          <w:sz w:val="32"/>
          <w:highlight w:val="none"/>
          <w:lang w:val="en-US" w:eastAsia="zh-CN"/>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在对2024年服务群众专项经费项目的深入调研基础上，按照《项目支出绩效评价管理办法》（财预〔2021〕10号）对于指标体系的要求和规范，建立一套适合评价服务群众专项经费项目的指标体系，从项目决策、项目过程、项目产出和项目绩效四个维度全面考察服务群众专项经费项目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eastAsia="仿宋_GB2312"/>
          <w:color w:val="auto"/>
          <w:sz w:val="32"/>
          <w:szCs w:val="32"/>
          <w:highlight w:val="none"/>
        </w:rPr>
      </w:pPr>
      <w:r>
        <w:rPr>
          <w:rFonts w:hint="eastAsia" w:ascii="仿宋_GB2312" w:hAnsi="仿宋_GB2312" w:cs="仿宋_GB2312"/>
          <w:b/>
          <w:bCs/>
          <w:color w:val="auto"/>
          <w:sz w:val="32"/>
          <w:highlight w:val="none"/>
          <w:lang w:val="en-US" w:eastAsia="zh-CN"/>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预算编制科学性</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成本效益分析法</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资金使用合规性：文献法、实地勘察法，一是查找资金管理办法；二是通过查账了解具体开支情况，是否专用专用，是否按照标准支出。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量指标：比较法，将实际完成值和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left="0" w:leftChars="0" w:firstLine="643" w:firstLineChars="200"/>
        <w:contextualSpacing/>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绩效评价标准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服务群众专项经费项目属于延续项目，</w:t>
      </w:r>
      <w:r>
        <w:rPr>
          <w:rFonts w:hint="eastAsia" w:ascii="仿宋_GB2312" w:hAnsi="仿宋_GB2312" w:eastAsia="仿宋_GB2312" w:cs="仿宋_GB2312"/>
          <w:b w:val="0"/>
          <w:bCs/>
          <w:color w:val="auto"/>
          <w:sz w:val="32"/>
          <w:szCs w:val="24"/>
          <w:highlight w:val="none"/>
          <w:lang w:val="en-US" w:eastAsia="zh-CN" w:bidi="ar-SA"/>
        </w:rPr>
        <w:t>有</w:t>
      </w:r>
      <w:r>
        <w:rPr>
          <w:rFonts w:hint="eastAsia" w:ascii="仿宋_GB2312" w:hAnsi="仿宋_GB2312" w:eastAsia="仿宋_GB2312" w:cs="仿宋_GB2312"/>
          <w:color w:val="auto"/>
          <w:sz w:val="32"/>
          <w:szCs w:val="24"/>
          <w:highlight w:val="none"/>
          <w:lang w:val="en-US" w:eastAsia="zh-CN" w:bidi="ar-SA"/>
        </w:rPr>
        <w:t>相应的行业标准和历史标准，故采用</w:t>
      </w:r>
      <w:r>
        <w:rPr>
          <w:rFonts w:hint="eastAsia" w:ascii="仿宋_GB2312" w:eastAsia="仿宋_GB2312"/>
          <w:color w:val="auto"/>
          <w:sz w:val="32"/>
          <w:highlight w:val="none"/>
        </w:rPr>
        <w:t>计划标准、历史标准</w:t>
      </w:r>
      <w:r>
        <w:rPr>
          <w:rFonts w:hint="eastAsia" w:ascii="仿宋_GB2312" w:hAnsi="仿宋_GB2312" w:eastAsia="仿宋_GB2312" w:cs="仿宋_GB2312"/>
          <w:color w:val="auto"/>
          <w:sz w:val="32"/>
          <w:szCs w:val="24"/>
          <w:highlight w:val="none"/>
          <w:lang w:val="en-US" w:eastAsia="zh-CN" w:bidi="ar-SA"/>
        </w:rPr>
        <w:t>评价该项目。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firstLine="643" w:firstLineChars="200"/>
        <w:contextualSpacing/>
        <w:textAlignment w:val="auto"/>
        <w:rPr>
          <w:rFonts w:hint="eastAsia" w:ascii="楷体" w:hAnsi="楷体" w:eastAsia="楷体" w:cs="仿宋_GB2312"/>
          <w:b/>
          <w:bCs/>
          <w:color w:val="auto"/>
          <w:sz w:val="32"/>
          <w:szCs w:val="24"/>
          <w:highlight w:val="none"/>
          <w:lang w:val="en-US" w:eastAsia="zh-CN" w:bidi="ar-SA"/>
        </w:rPr>
      </w:pPr>
      <w:r>
        <w:rPr>
          <w:rFonts w:hint="eastAsia" w:ascii="楷体" w:hAnsi="楷体" w:eastAsia="楷体" w:cs="仿宋_GB2312"/>
          <w:b/>
          <w:bCs/>
          <w:color w:val="auto"/>
          <w:sz w:val="32"/>
          <w:szCs w:val="24"/>
          <w:highlight w:val="none"/>
          <w:lang w:val="en-US" w:eastAsia="zh-CN" w:bidi="ar-SA"/>
        </w:rPr>
        <w:t>（三）绩效评价工作过程。</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600" w:leftChars="200"/>
        <w:contextualSpacing/>
        <w:textAlignment w:val="auto"/>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1．前期准备</w:t>
      </w:r>
    </w:p>
    <w:p>
      <w:pPr>
        <w:pStyle w:val="30"/>
        <w:keepNext w:val="0"/>
        <w:keepLines w:val="0"/>
        <w:pageBreakBefore w:val="0"/>
        <w:widowControl w:val="0"/>
        <w:numPr>
          <w:ilvl w:val="0"/>
          <w:numId w:val="0"/>
        </w:numPr>
        <w:kinsoku/>
        <w:wordWrap/>
        <w:overflowPunct/>
        <w:topLinePunct w:val="0"/>
        <w:autoSpaceDE/>
        <w:bidi w:val="0"/>
        <w:snapToGrid/>
        <w:spacing w:before="0" w:after="0" w:line="560" w:lineRule="exact"/>
        <w:ind w:firstLine="643" w:firstLineChars="200"/>
        <w:jc w:val="center"/>
        <w:textAlignment w:val="auto"/>
        <w:outlineLvl w:val="9"/>
        <w:rPr>
          <w:b/>
          <w:bCs/>
          <w:color w:val="auto"/>
          <w:highlight w:val="none"/>
        </w:rPr>
      </w:pPr>
      <w:r>
        <w:rPr>
          <w:rFonts w:hint="eastAsia"/>
          <w:b/>
          <w:bCs/>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务</w:t>
            </w:r>
          </w:p>
        </w:tc>
        <w:tc>
          <w:tcPr>
            <w:tcW w:w="3901"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王进凯</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古丽沙依提</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库尔班</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出具项目绩效评价报告</w:t>
            </w:r>
          </w:p>
        </w:tc>
      </w:tr>
    </w:tbl>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服务群众专项经费项目的内容和特征制定了评价指标体系及评价标准以及评价实施方案，修正并确定所需资料清单，最终确定实施方案。</w:t>
      </w:r>
    </w:p>
    <w:p>
      <w:pPr>
        <w:pStyle w:val="29"/>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4月1日-4月20日，评价工作进入实施阶段。数据采集方面，评价组整理单位前期提交的各项资料，与项目实施负责人沟通，了解部门预算资金的内容、操作流程、管理机制、资金使用方向等情况；进行项目支出部门评价各项工作数据采集，了解项目设置背景及资金使用等情况。</w:t>
      </w:r>
    </w:p>
    <w:p>
      <w:pPr>
        <w:pStyle w:val="29"/>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9"/>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2025年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9"/>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9"/>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9"/>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组织管理、产出与效益效果。在此基础上，以相关的项目数据为基础，综合运用不同的评价方法，结合评价标准和评分规则，服务群众专项经费项目综合得分为100分，</w:t>
      </w:r>
      <w:r>
        <w:rPr>
          <w:rFonts w:hint="eastAsia" w:ascii="仿宋_GB2312" w:hAnsi="Cambria" w:eastAsia="仿宋_GB2312"/>
          <w:color w:val="auto"/>
          <w:sz w:val="32"/>
          <w:szCs w:val="32"/>
          <w:highlight w:val="none"/>
        </w:rPr>
        <w:t>评价结果为优。</w:t>
      </w:r>
    </w:p>
    <w:p>
      <w:pPr>
        <w:pStyle w:val="29"/>
        <w:spacing w:line="560" w:lineRule="exact"/>
        <w:ind w:firstLine="585" w:firstLineChars="182"/>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zh-CN" w:eastAsia="zh-CN" w:bidi="ar-SA"/>
        </w:rPr>
        <w:t>202</w:t>
      </w:r>
      <w:r>
        <w:rPr>
          <w:rFonts w:hint="eastAsia" w:ascii="仿宋_GB2312" w:hAnsi="仿宋_GB2312" w:eastAsia="仿宋_GB2312" w:cs="仿宋_GB2312"/>
          <w:b/>
          <w:color w:val="auto"/>
          <w:sz w:val="32"/>
          <w:szCs w:val="32"/>
          <w:highlight w:val="none"/>
          <w:lang w:val="en-US" w:eastAsia="zh-CN" w:bidi="ar-SA"/>
        </w:rPr>
        <w:t>4年服务群众专项经费项目评价得分情况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3866" w:type="dxa"/>
            <w:tcBorders>
              <w:top w:val="single" w:color="auto" w:sz="4" w:space="0"/>
              <w:left w:val="single" w:color="auto" w:sz="4" w:space="0"/>
              <w:right w:val="single" w:color="auto" w:sz="4" w:space="0"/>
            </w:tcBorders>
            <w:shd w:val="clear" w:color="auto" w:fill="FFFFFF"/>
            <w:vAlign w:val="bottom"/>
          </w:tcPr>
          <w:p>
            <w:pPr>
              <w:pStyle w:val="32"/>
              <w:spacing w:line="560" w:lineRule="exact"/>
              <w:ind w:firstLine="0"/>
              <w:jc w:val="left"/>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年服务群众专项经费资金达到了年初设立的绩效目标，在实施过程中取得了良好的成效，具体表现在以下几点：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根据</w:t>
      </w:r>
      <w:r>
        <w:rPr>
          <w:rFonts w:hint="eastAsia" w:ascii="仿宋_GB2312" w:hAnsi="仿宋_GB2312" w:cs="仿宋_GB2312"/>
          <w:color w:val="auto"/>
          <w:sz w:val="32"/>
          <w:szCs w:val="32"/>
          <w:highlight w:val="none"/>
        </w:rPr>
        <w:t>《关于加强村级组织运转经费保障工作的通知》《中国共产党农村基层组织工作条例》相关政策要求，</w:t>
      </w:r>
      <w:r>
        <w:rPr>
          <w:rFonts w:hint="eastAsia" w:ascii="仿宋_GB2312" w:hAnsi="仿宋_GB2312" w:cs="仿宋_GB2312"/>
          <w:color w:val="auto"/>
          <w:sz w:val="32"/>
          <w:szCs w:val="32"/>
          <w:highlight w:val="none"/>
          <w:lang w:val="en-US" w:eastAsia="zh-CN"/>
        </w:rPr>
        <w:t>本年度保障行政村数量9个；通过实施本项目，不断提高服务群众工作质量，让群众生活得到满足感、幸福感和获得感，多措并举开展文娱活动，丰富群众精神文化生活。</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eastAsia="仿宋_GB2312" w:cs="宋体"/>
          <w:color w:val="auto"/>
          <w:kern w:val="0"/>
          <w:sz w:val="32"/>
          <w:szCs w:val="32"/>
          <w:highlight w:val="none"/>
          <w:lang w:val="en-US" w:eastAsia="zh-CN" w:bidi="ar-SA"/>
        </w:rPr>
        <w:t>服务群众专项经费</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val="en-US" w:eastAsia="zh-CN"/>
        </w:rPr>
        <w:t>89.98</w:t>
      </w:r>
      <w:r>
        <w:rPr>
          <w:rFonts w:hint="eastAsia" w:ascii="仿宋_GB2312" w:hAnsi="仿宋_GB2312" w:cs="仿宋_GB2312"/>
          <w:color w:val="auto"/>
          <w:sz w:val="32"/>
          <w:szCs w:val="32"/>
          <w:highlight w:val="none"/>
        </w:rPr>
        <w:t>万元，评价得分值</w:t>
      </w:r>
      <w:r>
        <w:rPr>
          <w:rFonts w:hint="eastAsia" w:ascii="仿宋_GB2312" w:hAnsi="仿宋_GB2312" w:cs="仿宋_GB2312"/>
          <w:color w:val="auto"/>
          <w:sz w:val="32"/>
          <w:szCs w:val="32"/>
          <w:highlight w:val="none"/>
          <w:lang w:val="en-US" w:eastAsia="zh-CN"/>
        </w:rPr>
        <w:t>100</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本项目的立项符合相关政策及部门职责，依据充分；项目</w:t>
      </w:r>
      <w:r>
        <w:rPr>
          <w:rFonts w:hint="eastAsia" w:ascii="仿宋_GB2312" w:hAnsi="仿宋" w:cs="宋体"/>
          <w:color w:val="auto"/>
          <w:sz w:val="32"/>
          <w:szCs w:val="32"/>
          <w:highlight w:val="none"/>
          <w:lang w:val="en-US" w:eastAsia="zh-CN"/>
        </w:rPr>
        <w:t>严格</w:t>
      </w:r>
      <w:r>
        <w:rPr>
          <w:rFonts w:hint="eastAsia" w:ascii="仿宋_GB2312" w:hAnsi="仿宋" w:cs="宋体"/>
          <w:color w:val="auto"/>
          <w:sz w:val="32"/>
          <w:szCs w:val="32"/>
          <w:highlight w:val="none"/>
        </w:rPr>
        <w:t>按照规定的程序申请设立；审批文件、材料符合相关要求；项目前期已经过必要的可行性研究、专家论证、风险评估、绩效评估、集体决策。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w:t>
      </w:r>
      <w:r>
        <w:rPr>
          <w:rFonts w:hint="eastAsia" w:ascii="仿宋_GB2312" w:hAnsi="仿宋" w:cs="宋体"/>
          <w:color w:val="auto"/>
          <w:sz w:val="32"/>
          <w:szCs w:val="32"/>
          <w:highlight w:val="none"/>
          <w:lang w:val="en-US" w:eastAsia="zh-CN"/>
        </w:rPr>
        <w:t>绩效目标</w:t>
      </w:r>
      <w:r>
        <w:rPr>
          <w:rFonts w:hint="eastAsia" w:ascii="仿宋_GB2312" w:hAnsi="仿宋" w:cs="宋体"/>
          <w:color w:val="auto"/>
          <w:sz w:val="32"/>
          <w:szCs w:val="32"/>
          <w:highlight w:val="none"/>
        </w:rPr>
        <w:t>与实际工作内容相关；项目预期产出效益和效果符合正常的业绩水平；</w:t>
      </w:r>
      <w:r>
        <w:rPr>
          <w:rFonts w:hint="eastAsia" w:ascii="仿宋_GB2312" w:hAnsi="仿宋" w:cs="宋体"/>
          <w:color w:val="auto"/>
          <w:sz w:val="32"/>
          <w:szCs w:val="32"/>
          <w:highlight w:val="none"/>
          <w:lang w:val="en-US" w:eastAsia="zh-CN"/>
        </w:rPr>
        <w:t>目标设置</w:t>
      </w:r>
      <w:r>
        <w:rPr>
          <w:rFonts w:hint="eastAsia" w:ascii="仿宋_GB2312" w:hAnsi="仿宋" w:cs="宋体"/>
          <w:color w:val="auto"/>
          <w:sz w:val="32"/>
          <w:szCs w:val="32"/>
          <w:highlight w:val="none"/>
        </w:rPr>
        <w:t>与预算确定的项目投资额或资金量相匹配。</w:t>
      </w:r>
      <w:r>
        <w:rPr>
          <w:rFonts w:hint="eastAsia" w:ascii="仿宋_GB2312" w:hAnsi="仿宋" w:cs="宋体"/>
          <w:color w:val="auto"/>
          <w:sz w:val="32"/>
          <w:szCs w:val="32"/>
          <w:highlight w:val="none"/>
          <w:lang w:val="en-US" w:eastAsia="zh-CN"/>
        </w:rPr>
        <w:t>严格按照要求</w:t>
      </w:r>
      <w:r>
        <w:rPr>
          <w:rFonts w:hint="eastAsia" w:ascii="仿宋_GB2312" w:hAnsi="仿宋" w:cs="宋体"/>
          <w:color w:val="auto"/>
          <w:sz w:val="32"/>
          <w:szCs w:val="32"/>
          <w:highlight w:val="none"/>
        </w:rPr>
        <w:t>将项目绩效目标细化分解为具体的绩效指标</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eastAsia="zh-CN"/>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r>
        <w:rPr>
          <w:rFonts w:hint="eastAsia" w:ascii="仿宋_GB2312" w:hAnsi="仿宋" w:cs="宋体"/>
          <w:color w:val="auto"/>
          <w:sz w:val="32"/>
          <w:szCs w:val="32"/>
          <w:highlight w:val="none"/>
          <w:lang w:eastAsia="zh-CN"/>
        </w:rPr>
        <w:t>。</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及时支付，资金使用符合国家法规和财务管理制度；资金拨付有完整的审批程序和手续，符合项目预算批复或合同规定的用途；</w:t>
      </w:r>
      <w:r>
        <w:rPr>
          <w:rFonts w:hint="eastAsia" w:ascii="仿宋_GB2312" w:hAnsi="仿宋" w:cs="宋体"/>
          <w:color w:val="auto"/>
          <w:sz w:val="32"/>
          <w:szCs w:val="32"/>
          <w:highlight w:val="none"/>
          <w:lang w:val="en-US" w:eastAsia="zh-CN"/>
        </w:rPr>
        <w:t>不</w:t>
      </w:r>
      <w:r>
        <w:rPr>
          <w:rFonts w:hint="eastAsia" w:ascii="仿宋_GB2312" w:hAnsi="仿宋" w:cs="宋体"/>
          <w:color w:val="auto"/>
          <w:sz w:val="32"/>
          <w:szCs w:val="32"/>
          <w:highlight w:val="none"/>
        </w:rPr>
        <w:t>存在截留、挤占、挪用、虚列支出等情况。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5年</w:t>
      </w:r>
      <w:r>
        <w:rPr>
          <w:rFonts w:hint="eastAsia" w:ascii="仿宋_GB2312" w:hAnsi="仿宋_GB2312" w:cs="仿宋_GB2312"/>
          <w:color w:val="auto"/>
          <w:sz w:val="32"/>
          <w:szCs w:val="32"/>
          <w:highlight w:val="none"/>
        </w:rPr>
        <w:t>服务群众专项经费项目预算依据</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继而进行该项目支出预算的编制、执行和上报等工作。在项目预算的编制工程中，坚持履行政府职能方面的轻重缓急程度进行先后排序，坚持对服务群众专项经费项目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w:t>
      </w:r>
      <w:r>
        <w:rPr>
          <w:rFonts w:hint="eastAsia" w:ascii="仿宋_GB2312" w:hAnsi="仿宋_GB2312" w:cs="仿宋_GB2312"/>
          <w:color w:val="auto"/>
          <w:sz w:val="32"/>
          <w:szCs w:val="32"/>
          <w:highlight w:val="none"/>
          <w:lang w:val="en-US" w:eastAsia="zh-CN"/>
        </w:rPr>
        <w:t>阿图什市</w:t>
      </w:r>
      <w:r>
        <w:rPr>
          <w:rFonts w:hint="eastAsia" w:ascii="仿宋_GB2312" w:hAnsi="仿宋_GB2312" w:cs="仿宋_GB2312"/>
          <w:color w:val="auto"/>
          <w:sz w:val="32"/>
          <w:szCs w:val="32"/>
          <w:highlight w:val="none"/>
        </w:rPr>
        <w:t>财政局从资金申请、资金使用、会计核算三个环节加强资金管理。在项目资金申请环节，负责科室严格按照国库集中支付流程向市财政局申请财政资金，我局通过召开党组会议确定服务群众专项经费项目组织形式，明确了该项目经费的开支范围为</w:t>
      </w:r>
      <w:r>
        <w:rPr>
          <w:rFonts w:hint="eastAsia" w:ascii="仿宋_GB2312" w:hAnsi="仿宋_GB2312" w:cs="仿宋_GB2312"/>
          <w:color w:val="auto"/>
          <w:sz w:val="32"/>
          <w:szCs w:val="32"/>
          <w:highlight w:val="none"/>
          <w:lang w:val="en-US" w:eastAsia="zh-CN"/>
        </w:rPr>
        <w:t>服务群众经费</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，严格做到专款专用，责任到人。在资金使用环节，严格遵守相关规定，严格按照我局资金财务审批流程办理款项支付。在会计核算环节，对本项目资金实际单独核算，确保</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w:t>
      </w:r>
      <w:r>
        <w:rPr>
          <w:rFonts w:hint="eastAsia" w:ascii="仿宋_GB2312" w:hAnsi="仿宋_GB2312" w:cs="仿宋_GB2312"/>
          <w:color w:val="auto"/>
          <w:sz w:val="32"/>
          <w:szCs w:val="32"/>
          <w:highlight w:val="none"/>
          <w:lang w:val="en-US" w:eastAsia="zh-CN"/>
        </w:rPr>
        <w:t>预算</w:t>
      </w:r>
      <w:r>
        <w:rPr>
          <w:rFonts w:hint="eastAsia" w:ascii="仿宋_GB2312" w:hAnsi="仿宋_GB2312" w:cs="仿宋_GB2312"/>
          <w:color w:val="auto"/>
          <w:sz w:val="32"/>
          <w:szCs w:val="32"/>
          <w:highlight w:val="none"/>
        </w:rPr>
        <w:t>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（4）严格按照政府采购制度规范实施政府采购。对于需要实施政府采购的活动，严格实施、履行采购手续，根据服务群众专项经费</w:t>
      </w:r>
      <w:r>
        <w:rPr>
          <w:rFonts w:hint="eastAsia" w:ascii="仿宋_GB2312" w:hAnsi="仿宋_GB2312" w:cs="仿宋_GB2312"/>
          <w:color w:val="auto"/>
          <w:sz w:val="32"/>
          <w:szCs w:val="32"/>
          <w:highlight w:val="none"/>
          <w:lang w:val="en-US" w:eastAsia="zh-CN"/>
        </w:rPr>
        <w:t>项目的需求</w:t>
      </w:r>
      <w:r>
        <w:rPr>
          <w:rFonts w:hint="eastAsia" w:ascii="仿宋_GB2312" w:hAnsi="仿宋_GB2312" w:cs="仿宋_GB2312"/>
          <w:color w:val="auto"/>
          <w:sz w:val="32"/>
          <w:szCs w:val="32"/>
          <w:highlight w:val="none"/>
        </w:rPr>
        <w:t>，选择合规可行的采购形式，</w:t>
      </w:r>
      <w:r>
        <w:rPr>
          <w:rFonts w:hint="eastAsia" w:ascii="仿宋_GB2312" w:hAnsi="仿宋_GB2312" w:cs="仿宋_GB2312"/>
          <w:color w:val="auto"/>
          <w:sz w:val="32"/>
          <w:szCs w:val="32"/>
          <w:highlight w:val="none"/>
          <w:lang w:val="en-US" w:eastAsia="zh-CN"/>
        </w:rPr>
        <w:t>通过政采云平台采购服务群众工作所需物资</w:t>
      </w:r>
      <w:r>
        <w:rPr>
          <w:rFonts w:hint="eastAsia" w:ascii="仿宋_GB2312" w:hAnsi="仿宋_GB2312" w:cs="仿宋_GB2312"/>
          <w:color w:val="auto"/>
          <w:sz w:val="32"/>
          <w:szCs w:val="32"/>
          <w:highlight w:val="none"/>
        </w:rPr>
        <w:t>，将采购政策、采购程序、采购过程规范化、透明化，提升服务群众专项经费项目相关资源和</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资金的使用效果。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（5）依照预算项资金管理制度，按照不定期检查与项目周期检查相结合的方式，对</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资金的使用情况进行监督检查。重点督查专项资金的使用进度，资金落实情况，对发现的问题，采取措施及时纠正、强化管理，</w:t>
      </w:r>
      <w:bookmarkStart w:id="0" w:name="_GoBack"/>
      <w:bookmarkEnd w:id="0"/>
      <w:r>
        <w:rPr>
          <w:rFonts w:hint="eastAsia" w:ascii="仿宋_GB2312" w:hAnsi="仿宋_GB2312" w:cs="仿宋_GB2312"/>
          <w:color w:val="auto"/>
          <w:sz w:val="32"/>
          <w:szCs w:val="32"/>
          <w:highlight w:val="none"/>
        </w:rPr>
        <w:t>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年服务群众专项经费项目在实施阶段均制定了具体的组织实施文件，各个项目均经过项目申报、项目评审、项目核准备案、</w:t>
      </w:r>
      <w:r>
        <w:rPr>
          <w:rFonts w:hint="eastAsia" w:ascii="仿宋_GB2312" w:hAnsi="仿宋_GB2312" w:cs="仿宋_GB2312"/>
          <w:color w:val="auto"/>
          <w:sz w:val="32"/>
          <w:szCs w:val="32"/>
          <w:highlight w:val="none"/>
          <w:lang w:val="en-US" w:eastAsia="zh-CN"/>
        </w:rPr>
        <w:t>政府采购</w:t>
      </w:r>
      <w:r>
        <w:rPr>
          <w:rFonts w:hint="eastAsia" w:ascii="仿宋_GB2312" w:hAnsi="仿宋_GB2312" w:cs="仿宋_GB2312"/>
          <w:color w:val="auto"/>
          <w:sz w:val="32"/>
          <w:szCs w:val="32"/>
          <w:highlight w:val="none"/>
        </w:rPr>
        <w:t>、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（三）项目产出情况</w:t>
      </w:r>
    </w:p>
    <w:p>
      <w:pPr>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数量指标为保障行政村数量，预期指标值是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9个，实际完成值是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9个，指标达到预期目标。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2．</w:t>
      </w:r>
      <w:r>
        <w:rPr>
          <w:rFonts w:hint="eastAsia" w:ascii="仿宋_GB2312"/>
          <w:b/>
          <w:bCs w:val="0"/>
          <w:color w:val="auto"/>
          <w:sz w:val="32"/>
          <w:szCs w:val="32"/>
          <w:highlight w:val="none"/>
        </w:rPr>
        <w:t>质量指标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质量指标为经费足额保障率，预期指标值是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99.97%，指标达到预期目标。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3．</w:t>
      </w:r>
      <w:r>
        <w:rPr>
          <w:rFonts w:hint="eastAsia" w:ascii="仿宋_GB2312"/>
          <w:b/>
          <w:color w:val="auto"/>
          <w:sz w:val="32"/>
          <w:szCs w:val="32"/>
          <w:highlight w:val="none"/>
        </w:rPr>
        <w:t>时效指标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600" w:left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时效指标为资金发放及时率，预期指标值是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99.97%，指标达到预期目标。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600" w:leftChars="200"/>
        <w:jc w:val="both"/>
        <w:textAlignment w:val="auto"/>
        <w:rPr>
          <w:rFonts w:ascii="仿宋_GB2312"/>
          <w:color w:val="auto"/>
          <w:sz w:val="32"/>
          <w:szCs w:val="32"/>
          <w:highlight w:val="none"/>
        </w:rPr>
      </w:pPr>
      <w:r>
        <w:rPr>
          <w:rFonts w:hint="eastAsia" w:ascii="仿宋_GB2312"/>
          <w:color w:val="auto"/>
          <w:sz w:val="32"/>
          <w:szCs w:val="32"/>
          <w:highlight w:val="none"/>
        </w:rPr>
        <w:t>时效指标为项目完成时间，预期指标值是2024年12月，实际完成值是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2024年12月，指标达到预期目标。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b/>
          <w:color w:val="auto"/>
          <w:sz w:val="32"/>
          <w:szCs w:val="32"/>
          <w:highlight w:val="none"/>
        </w:rPr>
      </w:pPr>
      <w:r>
        <w:rPr>
          <w:rFonts w:hint="eastAsia" w:ascii="仿宋_GB2312"/>
          <w:b/>
          <w:color w:val="auto"/>
          <w:sz w:val="32"/>
          <w:szCs w:val="32"/>
          <w:highlight w:val="none"/>
        </w:rPr>
        <w:t>4．成本指标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hint="eastAsia" w:ascii="仿宋_GB2312"/>
          <w:color w:val="auto"/>
          <w:sz w:val="32"/>
          <w:szCs w:val="32"/>
          <w:highlight w:val="none"/>
        </w:rPr>
        <w:t>成本指标为服务群众资金标准，预期指标值是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10万元/个，实际完成值是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10万元/个，指标达到预期目标。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ascii="楷体" w:hAnsi="楷体" w:eastAsia="楷体" w:cs="宋体"/>
          <w:b/>
          <w:bCs w:val="0"/>
          <w:color w:val="auto"/>
          <w:sz w:val="32"/>
          <w:szCs w:val="32"/>
          <w:highlight w:val="none"/>
        </w:rPr>
      </w:pPr>
      <w:r>
        <w:rPr>
          <w:rFonts w:hint="eastAsia" w:ascii="楷体" w:hAnsi="楷体" w:eastAsia="楷体" w:cs="宋体"/>
          <w:b/>
          <w:bCs w:val="0"/>
          <w:color w:val="auto"/>
          <w:sz w:val="32"/>
          <w:szCs w:val="32"/>
          <w:highlight w:val="none"/>
        </w:rPr>
        <w:t>（四）项目效益情况</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指标为保障基层业务工作正常开展，预期指标值是有效保障，实际完成值是有效保障，指标达到预期目标。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lang w:val="en-US" w:eastAsia="zh-CN"/>
        </w:rPr>
        <w:t>4</w:t>
      </w:r>
      <w:r>
        <w:rPr>
          <w:rFonts w:hint="eastAsia" w:ascii="仿宋_GB2312" w:hAnsi="仿宋" w:cs="宋体"/>
          <w:b/>
          <w:bCs/>
          <w:color w:val="auto"/>
          <w:sz w:val="32"/>
          <w:szCs w:val="32"/>
          <w:highlight w:val="none"/>
        </w:rPr>
        <w:t>．满意度指标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满意度指标为受益人员满意度，预期指标值是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90%，指标达到预期目标。</w:t>
      </w:r>
    </w:p>
    <w:p>
      <w:pPr>
        <w:pStyle w:val="5"/>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黑体" w:hAnsi="黑体" w:eastAsia="黑体" w:cs="仿宋_GB2312"/>
          <w:b w:val="0"/>
          <w:bCs w:val="0"/>
          <w:color w:val="auto"/>
          <w:kern w:val="2"/>
          <w:sz w:val="32"/>
          <w:szCs w:val="32"/>
          <w:highlight w:val="none"/>
          <w:lang w:val="en-US" w:eastAsia="zh-CN" w:bidi="ar-SA"/>
        </w:rPr>
      </w:pPr>
      <w:r>
        <w:rPr>
          <w:rFonts w:hint="default" w:ascii="黑体" w:hAnsi="黑体" w:eastAsia="黑体" w:cs="仿宋_GB2312"/>
          <w:b w:val="0"/>
          <w:bCs w:val="0"/>
          <w:color w:val="auto"/>
          <w:kern w:val="2"/>
          <w:sz w:val="32"/>
          <w:szCs w:val="32"/>
          <w:highlight w:val="none"/>
          <w:lang w:val="en-US" w:eastAsia="zh-CN" w:bidi="ar-SA"/>
        </w:rPr>
        <w:t>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本项目实施效果较好的原因主要是管理制度完善、责任落实到位，跟踪考核机制完善且运行有效，在项目实施过程中创新管理办法，使项目取得了良好的效果</w:t>
      </w:r>
      <w:r>
        <w:rPr>
          <w:rFonts w:hint="eastAsia"/>
          <w:b w:val="0"/>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楷体" w:hAnsi="楷体" w:eastAsia="仿宋_GB2312"/>
          <w:color w:val="auto"/>
          <w:sz w:val="36"/>
          <w:szCs w:val="32"/>
          <w:highlight w:val="none"/>
          <w:lang w:val="en-US" w:eastAsia="zh-CN"/>
        </w:rPr>
      </w:pPr>
      <w:r>
        <w:rPr>
          <w:rFonts w:hint="eastAsia"/>
          <w:color w:val="auto"/>
          <w:sz w:val="32"/>
          <w:highlight w:val="none"/>
        </w:rPr>
        <w:t>本项目全年预算数</w:t>
      </w:r>
      <w:r>
        <w:rPr>
          <w:rFonts w:hint="eastAsia"/>
          <w:color w:val="auto"/>
          <w:sz w:val="32"/>
          <w:highlight w:val="none"/>
          <w:lang w:val="en-US" w:eastAsia="zh-CN"/>
        </w:rPr>
        <w:t>90</w:t>
      </w:r>
      <w:r>
        <w:rPr>
          <w:rFonts w:hint="eastAsia"/>
          <w:color w:val="auto"/>
          <w:sz w:val="32"/>
          <w:highlight w:val="none"/>
        </w:rPr>
        <w:t>万元，执行数</w:t>
      </w:r>
      <w:r>
        <w:rPr>
          <w:rFonts w:hint="eastAsia"/>
          <w:color w:val="auto"/>
          <w:sz w:val="32"/>
          <w:highlight w:val="none"/>
          <w:lang w:val="en-US" w:eastAsia="zh-CN"/>
        </w:rPr>
        <w:t>89.98</w:t>
      </w:r>
      <w:r>
        <w:rPr>
          <w:rFonts w:hint="eastAsia"/>
          <w:color w:val="auto"/>
          <w:sz w:val="32"/>
          <w:highlight w:val="none"/>
        </w:rPr>
        <w:t>万元，执行率</w:t>
      </w:r>
      <w:r>
        <w:rPr>
          <w:rFonts w:hint="eastAsia"/>
          <w:color w:val="auto"/>
          <w:sz w:val="32"/>
          <w:highlight w:val="none"/>
          <w:lang w:val="en-US" w:eastAsia="zh-CN"/>
        </w:rPr>
        <w:t>100</w:t>
      </w:r>
      <w:r>
        <w:rPr>
          <w:rFonts w:hint="eastAsia"/>
          <w:color w:val="auto"/>
          <w:sz w:val="32"/>
          <w:highlight w:val="none"/>
        </w:rPr>
        <w:t>%，绩效指标完成率</w:t>
      </w:r>
      <w:r>
        <w:rPr>
          <w:rFonts w:hint="eastAsia"/>
          <w:color w:val="auto"/>
          <w:sz w:val="32"/>
          <w:highlight w:val="none"/>
          <w:lang w:val="en-US" w:eastAsia="zh-CN"/>
        </w:rPr>
        <w:t>100</w:t>
      </w:r>
      <w:r>
        <w:rPr>
          <w:rFonts w:hint="eastAsia"/>
          <w:color w:val="auto"/>
          <w:sz w:val="32"/>
          <w:highlight w:val="none"/>
        </w:rPr>
        <w:t>%，</w:t>
      </w:r>
      <w:r>
        <w:rPr>
          <w:rFonts w:hint="eastAsia"/>
          <w:color w:val="auto"/>
          <w:sz w:val="32"/>
          <w:highlight w:val="none"/>
          <w:lang w:val="en-US" w:eastAsia="zh-CN"/>
        </w:rPr>
        <w:t>根据实际所产生的费用进行支出，指标全部完成，未产生偏差。</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六、有关建议</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健全制度，加强督促。针对项目实施中存在的问题，进一步完善相关制度，加强督促检查，同时及时完善资料。</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七</w:t>
      </w:r>
      <w:r>
        <w:rPr>
          <w:rFonts w:hint="eastAsia" w:ascii="黑体" w:hAnsi="黑体" w:eastAsia="黑体"/>
          <w:b w:val="0"/>
          <w:bCs w:val="0"/>
          <w:color w:val="auto"/>
          <w:highlight w:val="none"/>
        </w:rPr>
        <w:t>、其他需要说明的问题</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default" w:ascii="仿宋_GB2312" w:hAnsi="仿宋" w:eastAsia="仿宋_GB2312" w:cs="宋体"/>
          <w:b w:val="0"/>
          <w:color w:val="auto"/>
          <w:kern w:val="2"/>
          <w:highlight w:val="none"/>
          <w:lang w:val="en-US" w:eastAsia="zh-CN"/>
        </w:rPr>
      </w:pPr>
      <w:r>
        <w:rPr>
          <w:rFonts w:hint="eastAsia" w:ascii="仿宋_GB2312" w:hAnsi="仿宋" w:eastAsia="仿宋_GB2312" w:cs="宋体"/>
          <w:b w:val="0"/>
          <w:color w:val="auto"/>
          <w:kern w:val="2"/>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附件1</w:t>
      </w:r>
    </w:p>
    <w:p>
      <w:pPr>
        <w:spacing w:line="560" w:lineRule="exact"/>
        <w:ind w:firstLine="320" w:firstLineChars="100"/>
        <w:jc w:val="center"/>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服务群众专项经费</w:t>
      </w:r>
      <w:r>
        <w:rPr>
          <w:rFonts w:hint="eastAsia" w:ascii="仿宋_GB2312" w:hAnsi="仿宋_GB2312" w:cs="仿宋_GB2312"/>
          <w:color w:val="auto"/>
          <w:sz w:val="32"/>
          <w:szCs w:val="32"/>
          <w:highlight w:val="none"/>
          <w:lang w:val="en-US" w:eastAsia="zh-CN"/>
        </w:rPr>
        <w:t>项目</w:t>
      </w: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eastAsia="仿宋_GB2312" w:cs="仿宋_GB2312"/>
                <w:color w:val="auto"/>
                <w:sz w:val="24"/>
                <w:highlight w:val="none"/>
                <w:lang w:eastAsia="zh-CN"/>
              </w:rPr>
            </w:pPr>
            <w:r>
              <w:rPr>
                <w:rFonts w:hint="eastAsia" w:ascii="仿宋_GB2312" w:hAnsi="仿宋_GB2312" w:cs="仿宋_GB2312"/>
                <w:color w:val="auto"/>
                <w:sz w:val="24"/>
                <w:highlight w:val="none"/>
                <w:lang w:val="en-US" w:eastAsia="zh-CN"/>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100</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CD25D2"/>
    <w:multiLevelType w:val="multilevel"/>
    <w:tmpl w:val="68CD25D2"/>
    <w:lvl w:ilvl="0" w:tentative="0">
      <w:start w:val="1"/>
      <w:numFmt w:val="chineseCountingThousand"/>
      <w:pStyle w:val="3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CD25DD"/>
    <w:multiLevelType w:val="singleLevel"/>
    <w:tmpl w:val="68CD25DD"/>
    <w:lvl w:ilvl="0" w:tentative="0">
      <w:start w:val="3"/>
      <w:numFmt w:val="decimal"/>
      <w:suff w:val="nothing"/>
      <w:lvlText w:val="%1．"/>
      <w:lvlJc w:val="left"/>
      <w:rPr>
        <w:rFonts w:hint="default"/>
        <w:b/>
        <w:bCs/>
        <w:color w:val="auto"/>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6C7E7F29"/>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uiPriority w:val="0"/>
    <w:rPr>
      <w:sz w:val="18"/>
      <w:szCs w:val="18"/>
    </w:rPr>
  </w:style>
  <w:style w:type="paragraph" w:styleId="8">
    <w:name w:val="footer"/>
    <w:basedOn w:val="1"/>
    <w:link w:val="21"/>
    <w:uiPriority w:val="0"/>
    <w:pPr>
      <w:tabs>
        <w:tab w:val="center" w:pos="4153"/>
        <w:tab w:val="right" w:pos="8306"/>
      </w:tabs>
      <w:snapToGrid w:val="0"/>
      <w:jc w:val="left"/>
    </w:pPr>
    <w:rPr>
      <w:sz w:val="18"/>
      <w:szCs w:val="18"/>
    </w:rPr>
  </w:style>
  <w:style w:type="paragraph" w:styleId="9">
    <w:name w:val="header"/>
    <w:basedOn w:val="1"/>
    <w:link w:val="22"/>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uiPriority w:val="0"/>
    <w:pPr>
      <w:jc w:val="left"/>
    </w:pPr>
  </w:style>
  <w:style w:type="paragraph" w:customStyle="1" w:styleId="15">
    <w:name w:val="Comment Subject"/>
    <w:basedOn w:val="14"/>
    <w:next w:val="14"/>
    <w:link w:val="23"/>
    <w:uiPriority w:val="0"/>
    <w:rPr>
      <w:b/>
      <w:bCs/>
    </w:rPr>
  </w:style>
  <w:style w:type="character" w:customStyle="1" w:styleId="16">
    <w:name w:val="Comment Reference"/>
    <w:uiPriority w:val="0"/>
    <w:rPr>
      <w:sz w:val="21"/>
      <w:szCs w:val="21"/>
    </w:rPr>
  </w:style>
  <w:style w:type="character" w:customStyle="1" w:styleId="17">
    <w:name w:val="标题 1 Char"/>
    <w:basedOn w:val="10"/>
    <w:link w:val="3"/>
    <w:uiPriority w:val="0"/>
    <w:rPr>
      <w:rFonts w:eastAsia="仿宋_GB2312"/>
      <w:b/>
      <w:bCs/>
      <w:kern w:val="44"/>
      <w:sz w:val="44"/>
      <w:szCs w:val="44"/>
    </w:rPr>
  </w:style>
  <w:style w:type="character" w:customStyle="1" w:styleId="18">
    <w:name w:val="标题 2 Char"/>
    <w:basedOn w:val="10"/>
    <w:link w:val="4"/>
    <w:semiHidden/>
    <w:uiPriority w:val="0"/>
    <w:rPr>
      <w:rFonts w:ascii="Cambria" w:hAnsi="Cambria" w:eastAsia="宋体" w:cs="Times New Roman"/>
      <w:b/>
      <w:bCs/>
      <w:kern w:val="2"/>
      <w:sz w:val="32"/>
      <w:szCs w:val="32"/>
    </w:rPr>
  </w:style>
  <w:style w:type="character" w:customStyle="1" w:styleId="19">
    <w:name w:val="批注文字 字符"/>
    <w:link w:val="14"/>
    <w:uiPriority w:val="0"/>
    <w:rPr>
      <w:rFonts w:eastAsia="仿宋_GB2312"/>
      <w:kern w:val="2"/>
      <w:sz w:val="30"/>
      <w:szCs w:val="24"/>
    </w:rPr>
  </w:style>
  <w:style w:type="character" w:customStyle="1" w:styleId="20">
    <w:name w:val="批注框文本 字符"/>
    <w:link w:val="7"/>
    <w:uiPriority w:val="0"/>
    <w:rPr>
      <w:rFonts w:eastAsia="仿宋_GB2312"/>
      <w:kern w:val="2"/>
      <w:sz w:val="18"/>
      <w:szCs w:val="18"/>
    </w:rPr>
  </w:style>
  <w:style w:type="character" w:customStyle="1" w:styleId="21">
    <w:name w:val="页脚 字符"/>
    <w:link w:val="8"/>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闻政-正文三级标题 Char"/>
    <w:link w:val="27"/>
    <w:uiPriority w:val="3"/>
    <w:rPr>
      <w:rFonts w:eastAsia="仿宋_GB2312"/>
      <w:b/>
      <w:snapToGrid w:val="0"/>
      <w:sz w:val="28"/>
      <w:szCs w:val="28"/>
    </w:rPr>
  </w:style>
  <w:style w:type="paragraph" w:customStyle="1" w:styleId="27">
    <w:name w:val="闻政-正文三级标题"/>
    <w:basedOn w:val="1"/>
    <w:next w:val="1"/>
    <w:link w:val="26"/>
    <w:qFormat/>
    <w:uiPriority w:val="3"/>
    <w:pPr>
      <w:widowControl/>
      <w:spacing w:before="120" w:after="60" w:line="500" w:lineRule="exact"/>
      <w:ind w:left="200" w:leftChars="200"/>
    </w:pPr>
    <w:rPr>
      <w:b/>
      <w:snapToGrid w:val="0"/>
      <w:kern w:val="0"/>
      <w:sz w:val="28"/>
      <w:szCs w:val="28"/>
    </w:rPr>
  </w:style>
  <w:style w:type="character" w:customStyle="1" w:styleId="28">
    <w:name w:val="Body text|1_"/>
    <w:link w:val="29"/>
    <w:uiPriority w:val="0"/>
    <w:rPr>
      <w:rFonts w:ascii="宋体" w:hAnsi="宋体" w:cs="宋体"/>
      <w:kern w:val="2"/>
      <w:sz w:val="30"/>
      <w:szCs w:val="30"/>
      <w:lang w:val="zh-TW" w:eastAsia="zh-TW" w:bidi="zh-TW"/>
    </w:rPr>
  </w:style>
  <w:style w:type="paragraph" w:customStyle="1" w:styleId="29">
    <w:name w:val="Body text|1"/>
    <w:basedOn w:val="1"/>
    <w:link w:val="28"/>
    <w:qFormat/>
    <w:uiPriority w:val="0"/>
    <w:pPr>
      <w:spacing w:line="420" w:lineRule="auto"/>
      <w:ind w:firstLine="400"/>
    </w:pPr>
    <w:rPr>
      <w:rFonts w:ascii="宋体" w:hAnsi="宋体" w:eastAsia="宋体" w:cs="宋体"/>
      <w:szCs w:val="30"/>
      <w:lang w:val="zh-TW" w:eastAsia="zh-TW" w:bidi="zh-TW"/>
    </w:rPr>
  </w:style>
  <w:style w:type="paragraph" w:customStyle="1" w:styleId="30">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1">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2">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3">
    <w:name w:val="List Paragraph"/>
    <w:basedOn w:val="1"/>
    <w:qFormat/>
    <w:uiPriority w:val="34"/>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D2BEA63B441643188B28131B42C60487_13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066cd2-263a-4c23-b81f-a2729a49e0e5}">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19</Pages>
  <Words>8252</Words>
  <Characters>8441</Characters>
  <Lines>56</Lines>
  <Paragraphs>15</Paragraphs>
  <TotalTime>18</TotalTime>
  <ScaleCrop>false</ScaleCrop>
  <LinksUpToDate>false</LinksUpToDate>
  <CharactersWithSpaces>8451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2025-09-19T09:44:24Z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D2BEA63B441643188B28131B42C60487_13</vt:lpwstr>
  </property>
  <property fmtid="{D5CDD505-2E9C-101B-9397-08002B2CF9AE}" pid="4" name="KSOTemplateDocerSaveRecord">
    <vt:lpwstr>eyJoZGlkIjoiYzZkNzQ4ZWFiZmQ4NTRhOWRkZTk3YTMwMjlmMmZhYmUiLCJ1c2VySWQiOiI1NzgxMjU4NDIifQ_x003D__x003D_</vt:lpwstr>
  </property>
</Properties>
</file>