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阿图什市阿扎克镇中学2024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正确贯彻执行党和国家的教育方针、政策、法规。</w:t>
      </w:r>
    </w:p>
    <w:p>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维护学校的教学秩序，为学生创造良好的学习环境。</w:t>
      </w:r>
    </w:p>
    <w:p>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积极稳妥</w:t>
      </w:r>
      <w:r>
        <w:rPr>
          <w:rFonts w:hint="eastAsia" w:ascii="仿宋_GB2312" w:hAnsi="仿宋_GB2312" w:eastAsia="仿宋_GB2312"/>
          <w:sz w:val="32"/>
          <w:lang w:eastAsia="zh-CN"/>
        </w:rPr>
        <w:t>地</w:t>
      </w:r>
      <w:r>
        <w:rPr>
          <w:rFonts w:ascii="仿宋_GB2312" w:hAnsi="仿宋_GB2312" w:eastAsia="仿宋_GB2312"/>
          <w:sz w:val="32"/>
        </w:rPr>
        <w:t>推进教育改革，按教育规律办事，不断提高教育质量。</w:t>
      </w:r>
    </w:p>
    <w:p>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根据学校规模，设置学校管理机构，建立健全各项规章制度和岗位责任制。</w:t>
      </w:r>
    </w:p>
    <w:p>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坚持教书育人，服务育人，环境育人方针，加强对学生思想品德教育，使学生的德智体全面发展。</w:t>
      </w:r>
    </w:p>
    <w:p>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抓好教师队伍建设，使每个教师都热心于教育事业。</w:t>
      </w:r>
    </w:p>
    <w:p>
      <w:pPr>
        <w:spacing w:line="580" w:lineRule="exact"/>
        <w:ind w:firstLine="640"/>
        <w:jc w:val="both"/>
      </w:pPr>
      <w:r>
        <w:rPr>
          <w:rFonts w:hint="eastAsia" w:ascii="仿宋_GB2312" w:hAnsi="仿宋_GB2312" w:eastAsia="仿宋_GB2312"/>
          <w:sz w:val="32"/>
          <w:lang w:eastAsia="zh-CN"/>
        </w:rPr>
        <w:t>7.</w:t>
      </w:r>
      <w:r>
        <w:rPr>
          <w:rFonts w:ascii="仿宋_GB2312" w:hAnsi="仿宋_GB2312" w:eastAsia="仿宋_GB2312"/>
          <w:sz w:val="32"/>
        </w:rPr>
        <w:t>做好安全防范，保证学生的人身安全。</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阿图什市阿扎克镇中学2024年度，实有人数297人，其中：在职人员246人，减少10人；离休人员0人，增加0人；退休人员51人,增加4人。</w:t>
      </w:r>
    </w:p>
    <w:p>
      <w:pPr>
        <w:spacing w:line="580" w:lineRule="exact"/>
        <w:ind w:firstLine="640"/>
        <w:jc w:val="both"/>
      </w:pPr>
      <w:r>
        <w:rPr>
          <w:rFonts w:ascii="仿宋_GB2312" w:hAnsi="仿宋_GB2312" w:eastAsia="仿宋_GB2312"/>
          <w:sz w:val="32"/>
        </w:rPr>
        <w:t>阿图什市阿扎克镇中学无下属预算单位，下设6个科室，分别是：办公室、财务室、校安办、德育室、教导处、党建室。</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2024年度收入总计5,079.15万元，</w:t>
      </w:r>
      <w:r>
        <w:rPr>
          <w:rFonts w:ascii="仿宋_GB2312" w:hAnsi="仿宋_GB2312" w:eastAsia="仿宋_GB2312"/>
          <w:b w:val="0"/>
          <w:sz w:val="32"/>
        </w:rPr>
        <w:t>其中：本年收入合计5,070.82万元，使用非财政拨款结余（含专用结余）0.00万元，年初结转和结余8.33万元。</w:t>
      </w:r>
    </w:p>
    <w:p>
      <w:pPr>
        <w:spacing w:line="580" w:lineRule="exact"/>
        <w:ind w:firstLine="640"/>
        <w:jc w:val="both"/>
      </w:pPr>
      <w:r>
        <w:rPr>
          <w:rFonts w:ascii="仿宋_GB2312" w:hAnsi="仿宋_GB2312" w:eastAsia="仿宋_GB2312"/>
          <w:b/>
          <w:sz w:val="32"/>
        </w:rPr>
        <w:t>2024年度支出总计5,079.15万元，</w:t>
      </w:r>
      <w:r>
        <w:rPr>
          <w:rFonts w:ascii="仿宋_GB2312" w:hAnsi="仿宋_GB2312" w:eastAsia="仿宋_GB2312"/>
          <w:b w:val="0"/>
          <w:sz w:val="32"/>
        </w:rPr>
        <w:t>其中：本年支出合计5,067.59万元，结余分配0.00万元，年末结转和结余11.56万元。</w:t>
      </w:r>
    </w:p>
    <w:p>
      <w:pPr>
        <w:spacing w:line="580" w:lineRule="exact"/>
        <w:ind w:firstLine="640"/>
        <w:jc w:val="both"/>
      </w:pPr>
      <w:r>
        <w:rPr>
          <w:rFonts w:ascii="仿宋_GB2312" w:hAnsi="仿宋_GB2312" w:eastAsia="仿宋_GB2312"/>
          <w:b w:val="0"/>
          <w:sz w:val="32"/>
        </w:rPr>
        <w:t>收入支出总体与上年相比，增加12.84万元，增长0.25%，主要原因是：本年在职人员工资调增，社保、公积金基数调增，人员经费增加。</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本年收入5,070.82万元，</w:t>
      </w:r>
      <w:r>
        <w:rPr>
          <w:rFonts w:ascii="仿宋_GB2312" w:hAnsi="仿宋_GB2312" w:eastAsia="仿宋_GB2312"/>
          <w:b w:val="0"/>
          <w:sz w:val="32"/>
        </w:rPr>
        <w:t>其中：财政拨款收入5,065.31万元，占99.89%；上级补助收入0.00万元，占0.00%；事业收入0.00万元，占0.00%；经营收入0.00万元，占0.00%；附属单位上缴收入0.00万元，占0.00%；其他收入5.51万元，占0.11%。</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本年支出5,067.59万元，</w:t>
      </w:r>
      <w:r>
        <w:rPr>
          <w:rFonts w:ascii="仿宋_GB2312" w:hAnsi="仿宋_GB2312" w:eastAsia="仿宋_GB2312"/>
          <w:b w:val="0"/>
          <w:sz w:val="32"/>
        </w:rPr>
        <w:t>其中：基本支出4,520.55万元，占89.21%；项目支出547.03万元，占10.79%；上缴上级支出0.00万元，占0.00%；经营支出0.00万元，占0.00%；对附属单位补助支出0.00万元，占0.00%。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2024年度财政拨款收入总计5,065.31万元，</w:t>
      </w:r>
      <w:r>
        <w:rPr>
          <w:rFonts w:ascii="仿宋_GB2312" w:hAnsi="仿宋_GB2312" w:eastAsia="仿宋_GB2312"/>
          <w:b w:val="0"/>
          <w:sz w:val="32"/>
        </w:rPr>
        <w:t>其中：年初财政拨款结转和结余0.00万元，本年财政拨款收入5,065.31万元。</w:t>
      </w:r>
      <w:r>
        <w:rPr>
          <w:rFonts w:ascii="仿宋_GB2312" w:hAnsi="仿宋_GB2312" w:eastAsia="仿宋_GB2312"/>
          <w:b/>
          <w:sz w:val="32"/>
        </w:rPr>
        <w:t>财政拨款支出总计5,065.31万元，</w:t>
      </w:r>
      <w:r>
        <w:rPr>
          <w:rFonts w:ascii="仿宋_GB2312" w:hAnsi="仿宋_GB2312" w:eastAsia="仿宋_GB2312"/>
          <w:b w:val="0"/>
          <w:sz w:val="32"/>
        </w:rPr>
        <w:t>其中：年末财政拨款结转和结余0.00万元，本年财政拨款支出5,065.31万元。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增加68.37万元，增长1.37%，主要原因是：本年在职人员工资调增，社保、公积金基数调增，人员经费增加。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年初预算数4,762.96万元，决算数5,065.31万元，预决算差异率6.35%，主要原因是：年中追加人员工资、社保、公积金基数调增部分资金，导致预决算存在差异。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2024年度一般公共预算财政拨款支出5,065.31万元，</w:t>
      </w:r>
      <w:r>
        <w:rPr>
          <w:rFonts w:ascii="仿宋_GB2312" w:hAnsi="仿宋_GB2312" w:eastAsia="仿宋_GB2312"/>
          <w:b w:val="0"/>
          <w:sz w:val="32"/>
        </w:rPr>
        <w:t>占本年支出合计的99.96%。</w:t>
      </w:r>
      <w:r>
        <w:rPr>
          <w:rFonts w:ascii="仿宋_GB2312" w:hAnsi="仿宋_GB2312" w:eastAsia="仿宋_GB2312"/>
          <w:b/>
          <w:sz w:val="32"/>
        </w:rPr>
        <w:t>与上年相比，</w:t>
      </w:r>
      <w:r>
        <w:rPr>
          <w:rFonts w:ascii="仿宋_GB2312" w:hAnsi="仿宋_GB2312" w:eastAsia="仿宋_GB2312"/>
          <w:b w:val="0"/>
          <w:sz w:val="32"/>
        </w:rPr>
        <w:t>增加68.37万元，增长1.37%，主要原因是：本年在职人员工资调增，社保、公积金基数调增，人员经费增加。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年初预算数4,762.96万元，决算数5,065.31万元，预决算差异率6.35%，主要原因是：年中追加人员工资、社保、公积金基数调增部分资金，导致预决算存在差异。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1.教育支出(类)5,060.11万元,占99.90%。</w:t>
      </w:r>
    </w:p>
    <w:p>
      <w:pPr>
        <w:spacing w:line="580" w:lineRule="exact"/>
        <w:ind w:firstLine="640"/>
        <w:jc w:val="both"/>
      </w:pPr>
      <w:r>
        <w:rPr>
          <w:rFonts w:ascii="仿宋_GB2312" w:hAnsi="仿宋_GB2312" w:eastAsia="仿宋_GB2312"/>
          <w:b w:val="0"/>
          <w:sz w:val="32"/>
        </w:rPr>
        <w:t>2.社会保障和就业支出(类)5.20万元,占0.10%。</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1.教育支出(类)普通教育(款)小学教育(项):支出决算数为33.60万元，比上年决算增加33.60万元，增长100.00%,主要原因是：</w:t>
      </w:r>
      <w:r>
        <w:rPr>
          <w:rFonts w:hint="eastAsia" w:ascii="仿宋_GB2312" w:hAnsi="仿宋_GB2312" w:eastAsia="仿宋_GB2312"/>
          <w:b w:val="0"/>
          <w:sz w:val="32"/>
          <w:lang w:val="en-US" w:eastAsia="zh-CN"/>
        </w:rPr>
        <w:t>本年科目调整，</w:t>
      </w:r>
      <w:r>
        <w:rPr>
          <w:rFonts w:ascii="仿宋_GB2312" w:hAnsi="仿宋_GB2312" w:eastAsia="仿宋_GB2312"/>
          <w:b w:val="0"/>
          <w:sz w:val="32"/>
        </w:rPr>
        <w:t>部分家庭经济困难学生补助资金</w:t>
      </w:r>
      <w:r>
        <w:rPr>
          <w:rFonts w:hint="eastAsia" w:ascii="仿宋_GB2312" w:hAnsi="仿宋_GB2312" w:eastAsia="仿宋_GB2312"/>
          <w:b w:val="0"/>
          <w:sz w:val="32"/>
          <w:lang w:val="en-US" w:eastAsia="zh-CN"/>
        </w:rPr>
        <w:t>上年在</w:t>
      </w:r>
      <w:r>
        <w:rPr>
          <w:rFonts w:ascii="仿宋_GB2312" w:hAnsi="仿宋_GB2312" w:eastAsia="仿宋_GB2312"/>
          <w:b w:val="0"/>
          <w:sz w:val="32"/>
        </w:rPr>
        <w:t>初中教育</w:t>
      </w:r>
      <w:r>
        <w:rPr>
          <w:rFonts w:hint="eastAsia" w:ascii="仿宋_GB2312" w:hAnsi="仿宋_GB2312" w:eastAsia="仿宋_GB2312"/>
          <w:b w:val="0"/>
          <w:sz w:val="32"/>
          <w:lang w:val="en-US" w:eastAsia="zh-CN"/>
        </w:rPr>
        <w:t>列支，本年调整至</w:t>
      </w:r>
      <w:r>
        <w:rPr>
          <w:rFonts w:ascii="仿宋_GB2312" w:hAnsi="仿宋_GB2312" w:eastAsia="仿宋_GB2312"/>
          <w:b w:val="0"/>
          <w:sz w:val="32"/>
        </w:rPr>
        <w:t>小学教育</w:t>
      </w:r>
      <w:r>
        <w:rPr>
          <w:rFonts w:hint="eastAsia" w:ascii="仿宋_GB2312" w:hAnsi="仿宋_GB2312" w:eastAsia="仿宋_GB2312"/>
          <w:b w:val="0"/>
          <w:sz w:val="32"/>
          <w:lang w:val="en-US" w:eastAsia="zh-CN"/>
        </w:rPr>
        <w:t>列支，导致经费较上年增加</w:t>
      </w:r>
      <w:r>
        <w:rPr>
          <w:rFonts w:ascii="仿宋_GB2312" w:hAnsi="仿宋_GB2312" w:eastAsia="仿宋_GB2312"/>
          <w:b w:val="0"/>
          <w:sz w:val="32"/>
        </w:rPr>
        <w:t>。</w:t>
      </w:r>
    </w:p>
    <w:p>
      <w:pPr>
        <w:spacing w:line="580" w:lineRule="exact"/>
        <w:ind w:firstLine="640"/>
        <w:jc w:val="both"/>
      </w:pPr>
      <w:r>
        <w:rPr>
          <w:rFonts w:ascii="仿宋_GB2312" w:hAnsi="仿宋_GB2312" w:eastAsia="仿宋_GB2312"/>
          <w:b w:val="0"/>
          <w:sz w:val="32"/>
        </w:rPr>
        <w:t>2.教育支出(类)普通教育(款)初中教育(项):支出决算数为4,903.84万元，比上年决算增加908.40万元，增长22.74%,主要原因是：</w:t>
      </w:r>
      <w:r>
        <w:rPr>
          <w:rFonts w:hint="eastAsia" w:ascii="仿宋_GB2312" w:hAnsi="仿宋_GB2312" w:eastAsia="仿宋_GB2312"/>
          <w:b w:val="0"/>
          <w:sz w:val="32"/>
          <w:lang w:val="en-US" w:eastAsia="zh-CN"/>
        </w:rPr>
        <w:t>本年</w:t>
      </w:r>
      <w:r>
        <w:rPr>
          <w:rFonts w:ascii="仿宋_GB2312" w:hAnsi="仿宋_GB2312" w:eastAsia="仿宋_GB2312"/>
          <w:b w:val="0"/>
          <w:sz w:val="32"/>
        </w:rPr>
        <w:t>科目调整，职工养老保险缴费，住房公积金，职业年金上年单独科目列支，本年调整至初中教育科目。</w:t>
      </w:r>
    </w:p>
    <w:p>
      <w:pPr>
        <w:spacing w:line="580" w:lineRule="exact"/>
        <w:ind w:firstLine="640"/>
        <w:jc w:val="both"/>
      </w:pPr>
      <w:r>
        <w:rPr>
          <w:rFonts w:ascii="仿宋_GB2312" w:hAnsi="仿宋_GB2312" w:eastAsia="仿宋_GB2312"/>
          <w:b w:val="0"/>
          <w:sz w:val="32"/>
        </w:rPr>
        <w:t>3.教育支出(类)普通教育(款)高中教育(项):支出决算数为117.55万元，比上年决算减少70.38万元，下降37.45%,主要原因是：本年高中学生人数减少，高中免学费、助学金项目资金</w:t>
      </w:r>
      <w:r>
        <w:rPr>
          <w:rFonts w:hint="eastAsia" w:ascii="仿宋_GB2312" w:hAnsi="仿宋_GB2312" w:eastAsia="仿宋_GB2312"/>
          <w:b w:val="0"/>
          <w:sz w:val="32"/>
          <w:lang w:val="en-US" w:eastAsia="zh-CN"/>
        </w:rPr>
        <w:t>较上年</w:t>
      </w:r>
      <w:r>
        <w:rPr>
          <w:rFonts w:ascii="仿宋_GB2312" w:hAnsi="仿宋_GB2312" w:eastAsia="仿宋_GB2312"/>
          <w:b w:val="0"/>
          <w:sz w:val="32"/>
        </w:rPr>
        <w:t>减少。</w:t>
      </w:r>
    </w:p>
    <w:p>
      <w:pPr>
        <w:spacing w:line="580" w:lineRule="exact"/>
        <w:ind w:firstLine="640"/>
        <w:jc w:val="both"/>
      </w:pPr>
      <w:r>
        <w:rPr>
          <w:rFonts w:ascii="仿宋_GB2312" w:hAnsi="仿宋_GB2312" w:eastAsia="仿宋_GB2312"/>
          <w:b w:val="0"/>
          <w:sz w:val="32"/>
        </w:rPr>
        <w:t>4.教育支出(类)教育费附加安排的支出(款)其他教育费附加安排的支出(项):支出决算数为5.13万元，比上年决算增加5.13万元，增长100.00%,主要原因是：</w:t>
      </w:r>
      <w:r>
        <w:rPr>
          <w:rFonts w:hint="eastAsia" w:ascii="仿宋_GB2312" w:hAnsi="仿宋_GB2312" w:eastAsia="仿宋_GB2312"/>
          <w:b w:val="0"/>
          <w:sz w:val="32"/>
          <w:lang w:val="en-US" w:eastAsia="zh-CN"/>
        </w:rPr>
        <w:t>本年科目调整，</w:t>
      </w:r>
      <w:r>
        <w:rPr>
          <w:rFonts w:ascii="仿宋_GB2312" w:hAnsi="仿宋_GB2312" w:eastAsia="仿宋_GB2312"/>
          <w:b w:val="0"/>
          <w:sz w:val="32"/>
        </w:rPr>
        <w:t>部分取暖费从初中教育科目调整至其他教育费附加安排的支出科目</w:t>
      </w:r>
      <w:r>
        <w:rPr>
          <w:rFonts w:hint="eastAsia" w:ascii="仿宋_GB2312" w:hAnsi="仿宋_GB2312" w:eastAsia="仿宋_GB2312"/>
          <w:b w:val="0"/>
          <w:sz w:val="32"/>
          <w:lang w:val="en-US" w:eastAsia="zh-CN"/>
        </w:rPr>
        <w:t>列支，导致经费较上年增加</w:t>
      </w:r>
      <w:r>
        <w:rPr>
          <w:rFonts w:ascii="仿宋_GB2312" w:hAnsi="仿宋_GB2312" w:eastAsia="仿宋_GB2312"/>
          <w:b w:val="0"/>
          <w:sz w:val="32"/>
        </w:rPr>
        <w:t>。</w:t>
      </w:r>
    </w:p>
    <w:p>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5.20万元，比上年决算减少403.60万元，下降98.73%,主要原因是：本年功能科目调整，大部分职工养老保险缴费上年度单独列支，本年调整至主科目列支，导致经费较上年减少。</w:t>
      </w:r>
    </w:p>
    <w:p>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0.00万元，比上年决算减少40.09万元，下降100.00%,主要原因是：本年功能科目调整，机关事业单位职业年金缴费上年度单独列支，本年调整至主科目列支，导致经费较上年减少。</w:t>
      </w:r>
    </w:p>
    <w:p>
      <w:pPr>
        <w:spacing w:line="580" w:lineRule="exact"/>
        <w:ind w:firstLine="640"/>
        <w:jc w:val="both"/>
      </w:pPr>
      <w:r>
        <w:rPr>
          <w:rFonts w:ascii="仿宋_GB2312" w:hAnsi="仿宋_GB2312" w:eastAsia="仿宋_GB2312"/>
          <w:b w:val="0"/>
          <w:sz w:val="32"/>
        </w:rPr>
        <w:t>7.社会保障和就业支出(类)抚恤(款)死亡抚恤(项):支出决算数为0.00万元，比上年决算减少16.84万元，下降100.00%,主要原因是：本年无新增</w:t>
      </w:r>
      <w:r>
        <w:rPr>
          <w:rFonts w:hint="eastAsia" w:ascii="仿宋_GB2312" w:hAnsi="仿宋_GB2312" w:eastAsia="仿宋_GB2312"/>
          <w:b w:val="0"/>
          <w:sz w:val="32"/>
          <w:lang w:eastAsia="zh-CN"/>
        </w:rPr>
        <w:t>去世</w:t>
      </w:r>
      <w:r>
        <w:rPr>
          <w:rFonts w:ascii="仿宋_GB2312" w:hAnsi="仿宋_GB2312" w:eastAsia="仿宋_GB2312"/>
          <w:b w:val="0"/>
          <w:sz w:val="32"/>
        </w:rPr>
        <w:t>人员，抚恤</w:t>
      </w:r>
      <w:r>
        <w:rPr>
          <w:rFonts w:hint="eastAsia" w:ascii="仿宋_GB2312" w:hAnsi="仿宋_GB2312" w:eastAsia="仿宋_GB2312"/>
          <w:b w:val="0"/>
          <w:sz w:val="32"/>
          <w:lang w:eastAsia="zh-CN"/>
        </w:rPr>
        <w:t>金</w:t>
      </w:r>
      <w:r>
        <w:rPr>
          <w:rFonts w:ascii="仿宋_GB2312" w:hAnsi="仿宋_GB2312" w:eastAsia="仿宋_GB2312"/>
          <w:b w:val="0"/>
          <w:sz w:val="32"/>
        </w:rPr>
        <w:t>支出较上年减少。</w:t>
      </w:r>
    </w:p>
    <w:p>
      <w:pPr>
        <w:spacing w:line="580" w:lineRule="exact"/>
        <w:ind w:firstLine="640"/>
        <w:jc w:val="both"/>
      </w:pPr>
      <w:r>
        <w:rPr>
          <w:rFonts w:ascii="仿宋_GB2312" w:hAnsi="仿宋_GB2312" w:eastAsia="仿宋_GB2312"/>
          <w:b w:val="0"/>
          <w:sz w:val="32"/>
        </w:rPr>
        <w:t>8.住房保障支出(类)住房改革支出(款)住房公积金(项):支出决算数为0.00万元，比上年决算减少347.83万元，下降100.00%,主要原因是：本年功能科目调整，住房公积金上年度单独列支，本年调整至主科目列支，导致经费较上年减少。</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2024年度一般公共预算财政拨款基本支出4,520.55万元，其中：</w:t>
      </w:r>
      <w:r>
        <w:rPr>
          <w:rFonts w:ascii="仿宋_GB2312" w:hAnsi="仿宋_GB2312" w:eastAsia="仿宋_GB2312"/>
          <w:b/>
          <w:sz w:val="32"/>
        </w:rPr>
        <w:t>人员经费4,520.55万元，</w:t>
      </w:r>
      <w:r>
        <w:rPr>
          <w:rFonts w:ascii="仿宋_GB2312" w:hAnsi="仿宋_GB2312" w:eastAsia="仿宋_GB2312"/>
          <w:b w:val="0"/>
          <w:sz w:val="32"/>
        </w:rPr>
        <w:t>包括：基本工资、津贴补贴、绩效工资、机关事业单位基本养老保险缴费、职业年金缴费、职工基本医疗保险缴费、其他社会保障缴费、住房公积金、退休费、抚恤金、生活补助。</w:t>
      </w:r>
    </w:p>
    <w:p>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2024年度阿图什市阿扎克镇中学（事业单位）公用经费支出0.00万元，比上年减少0.25万元，下降100.00%，主要原因是：本单位2024年无公用经费支出。</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2024年度政府采购支出总额106.62万元，其中：政府采购货物支出57.69万元、政府采购工程支出1.08万元、政府采购服务支出47.85万元。</w:t>
      </w:r>
    </w:p>
    <w:p>
      <w:pPr>
        <w:spacing w:line="580" w:lineRule="exact"/>
        <w:ind w:firstLine="640"/>
        <w:jc w:val="both"/>
      </w:pPr>
      <w:r>
        <w:rPr>
          <w:rFonts w:ascii="仿宋_GB2312" w:hAnsi="仿宋_GB2312" w:eastAsia="仿宋_GB2312"/>
          <w:b w:val="0"/>
          <w:sz w:val="32"/>
        </w:rPr>
        <w:t>授予中小企业合同金额105.22万元，占政府采购支出总额的98.69%，其中：授予小微企业合同金额99.61万元，占政府采购支出总额的93.43%。</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16,031.54平方米，价值1,226.06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5,079.15万元，实际执行总额5,067.59万元；预算绩效评价项目0个，全年预算数0.00万元，全年执行数0.00万元。预算绩效管理取得的成效：2024年本单位无预算绩效项目。发现的问题及原因：2024年本单位无预算绩效项目。下一步改进措施：2024年本单位无预算绩效项目。具体附整体支出绩效自评表。</w:t>
      </w:r>
    </w:p>
    <w:p>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tblPrEx>
          <w:tblCellMar>
            <w:top w:w="0" w:type="dxa"/>
            <w:left w:w="108" w:type="dxa"/>
            <w:bottom w:w="0" w:type="dxa"/>
            <w:right w:w="108" w:type="dxa"/>
          </w:tblCellMar>
        </w:tblPrEx>
        <w:tc>
          <w:tcPr>
            <w:tcW w:w="8840" w:type="dxa"/>
            <w:gridSpan w:val="8"/>
            <w:vAlign w:val="center"/>
          </w:tcPr>
          <w:p>
            <w:pPr>
              <w:jc w:val="center"/>
            </w:pPr>
            <w:r>
              <w:rPr>
                <w:rFonts w:ascii="宋体" w:hAnsi="宋体" w:eastAsia="宋体"/>
                <w:sz w:val="24"/>
              </w:rPr>
              <w:t>单位整体支出绩效自评表</w:t>
            </w:r>
          </w:p>
        </w:tc>
      </w:tr>
      <w:tr>
        <w:tblPrEx>
          <w:tblCellMar>
            <w:top w:w="0" w:type="dxa"/>
            <w:left w:w="108" w:type="dxa"/>
            <w:bottom w:w="0" w:type="dxa"/>
            <w:right w:w="108" w:type="dxa"/>
          </w:tblCellMar>
        </w:tblPrEx>
        <w:tc>
          <w:tcPr>
            <w:tcW w:w="8840" w:type="dxa"/>
            <w:gridSpan w:val="8"/>
            <w:vAlign w:val="center"/>
          </w:tcPr>
          <w:p>
            <w:pPr>
              <w:jc w:val="center"/>
            </w:pPr>
            <w:r>
              <w:rPr>
                <w:rFonts w:ascii="宋体" w:hAnsi="宋体" w:eastAsia="宋体"/>
                <w:sz w:val="24"/>
              </w:rPr>
              <w:t>（2024年度）</w:t>
            </w:r>
          </w:p>
        </w:tc>
      </w:tr>
      <w:tr>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阿图什市阿扎克镇中学</w:t>
            </w:r>
          </w:p>
        </w:tc>
      </w:tr>
      <w:tr>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4,619.83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5,079.15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5,067.59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99.77%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rFonts w:hint="default" w:eastAsia="宋体"/>
                <w:lang w:val="en-US" w:eastAsia="zh-CN"/>
              </w:rPr>
            </w:pPr>
            <w:r>
              <w:rPr>
                <w:rFonts w:hint="eastAsia" w:ascii="宋体" w:hAnsi="宋体"/>
                <w:sz w:val="16"/>
                <w:lang w:val="en-US" w:eastAsia="zh-CN"/>
              </w:rPr>
              <w:t>9.98</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539.63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539.63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4,619.83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4,539.52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4,527.96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rPr>
                <w:rFonts w:ascii="宋体" w:hAnsi="宋体" w:eastAsia="宋体"/>
                <w:sz w:val="16"/>
              </w:rPr>
            </w:pPr>
            <w:r>
              <w:rPr>
                <w:rFonts w:ascii="宋体" w:hAnsi="宋体" w:eastAsia="宋体"/>
                <w:sz w:val="16"/>
              </w:rPr>
              <w:t xml:space="preserve">单位基本职能：正确贯彻执行党和国家的教育方针、政策、法规；维护学校的教学秩序，为学生创造良好的学习环境；积极稳妥地推进教育改革，按教育规律办事，不断提高教育质量；根据学校规模，设置学校管理机构，建立健全各项规章制度和岗位责任制；坚持教书育人，服务育人，环境育人方针，加强对学生思想品德教育，使学生的德智体全面发展；抓好教师队伍建设，使每个教师都热心于教育事业；做好安全防范，保证学生的人身安全。 </w:t>
            </w:r>
            <w:r>
              <w:rPr>
                <w:rFonts w:ascii="宋体" w:hAnsi="宋体" w:eastAsia="宋体"/>
                <w:sz w:val="16"/>
              </w:rPr>
              <w:br w:type="textWrapping"/>
            </w:r>
            <w:r>
              <w:rPr>
                <w:rFonts w:ascii="宋体" w:hAnsi="宋体" w:eastAsia="宋体"/>
                <w:sz w:val="16"/>
              </w:rPr>
              <w:t xml:space="preserve">机构设置及人员配置：无下属预算单位，下设10个科室，编制数245，实有人数303人，在职255人，退休48人。 </w:t>
            </w:r>
            <w:r>
              <w:rPr>
                <w:rFonts w:ascii="宋体" w:hAnsi="宋体" w:eastAsia="宋体"/>
                <w:sz w:val="16"/>
              </w:rPr>
              <w:br w:type="textWrapping"/>
            </w:r>
            <w:r>
              <w:rPr>
                <w:rFonts w:ascii="宋体" w:hAnsi="宋体" w:eastAsia="宋体"/>
                <w:sz w:val="16"/>
              </w:rPr>
              <w:t>中长期规划：基于新课标和新课程改革纲要，以扎实推进素质教育为目标，加强理论学习、转变思想观念、深化教研教改工作，全面提高教学质量，不断探索贯彻启发式、探索式学习思想的课堂教学模式。大力推崇开放式的，适应新教材的新型课。</w:t>
            </w:r>
          </w:p>
          <w:p>
            <w:pPr>
              <w:jc w:val="both"/>
            </w:pPr>
            <w:r>
              <w:rPr>
                <w:rFonts w:ascii="宋体" w:hAnsi="宋体" w:eastAsia="宋体"/>
                <w:sz w:val="16"/>
              </w:rPr>
              <w:t xml:space="preserve">  保障单位在职210人，退休34人的工资福利及各项补助正常发放及部门正常运转；保障单位预算项目按计划实施，便于开展检查指导学习各级各类学校工作，对全市教师开展培训工作，提高教学能力，为支教教师购买生活物资，提高支教教师幸福感、归属感，积极开展校园文化建设，培养学生身心全面发展。</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 xml:space="preserve"> 本单位共计支出5,067.59万元，主要用于保障单位在职210人，退休34人的工资福利及各项补助正常发放及部门正常运转；保障单位预算项目按计划实施，开展法制教育课和交通安全知识讲座36次，检查指导学校安全工作，对120名教师开展培训工作，提高教学能力，为学校老师购买生活物资，提高教师幸福感、归属感，积极开展校园文</w:t>
            </w:r>
            <w:bookmarkStart w:id="0" w:name="_GoBack"/>
            <w:bookmarkEnd w:id="0"/>
            <w:r>
              <w:rPr>
                <w:rFonts w:ascii="宋体" w:hAnsi="宋体" w:eastAsia="宋体"/>
                <w:sz w:val="16"/>
              </w:rPr>
              <w:t>化建设，培养学生身心全面发展。</w:t>
            </w:r>
          </w:p>
        </w:tc>
      </w:tr>
      <w:tr>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管理效率</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法制教育课和交通安全知识讲座</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&gt;=36次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36次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履职效能</w:t>
            </w:r>
          </w:p>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教师培训人数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&gt;=120人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120人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保障单位日常运转期限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=12个月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12个月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培训合格率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教育巩固率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本单位无其他需说明的事项。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54F6D45"/>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3FE1970"/>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3C54318"/>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AA319D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4179</Words>
  <Characters>4891</Characters>
  <Lines>0</Lines>
  <Paragraphs>0</Paragraphs>
  <TotalTime>10</TotalTime>
  <ScaleCrop>false</ScaleCrop>
  <LinksUpToDate>false</LinksUpToDate>
  <CharactersWithSpaces>4899</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cp:lastPrinted>2024-07-22T11:58:00Z</cp:lastPrinted>
  <dcterms:modified xsi:type="dcterms:W3CDTF">2025-09-19T10:36:16Z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B858A68E913346F885B5BC17D4DBEB06_13</vt:lpwstr>
  </property>
  <property fmtid="{D5CDD505-2E9C-101B-9397-08002B2CF9AE}" pid="4" name="KSOTemplateDocerSaveRecord">
    <vt:lpwstr>eyJoZGlkIjoiY2ViNTMyZDM2ZThmY2RiZDFlZjg1MjJiOThhYWMyNzAiLCJ1c2VySWQiOiI0MzE2NzY3NzkifQ==</vt:lpwstr>
  </property>
</Properties>
</file>