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村级运转经费（上级专项）项目支出</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val="en-US" w:eastAsia="zh-CN"/>
        </w:rPr>
      </w:pPr>
      <w:r>
        <w:rPr>
          <w:rFonts w:hint="eastAsia" w:ascii="黑体" w:hAnsi="黑体" w:eastAsia="黑体" w:cs="仿宋_GB2312"/>
          <w:color w:val="auto"/>
          <w:kern w:val="0"/>
          <w:sz w:val="32"/>
          <w:szCs w:val="32"/>
          <w:highlight w:val="none"/>
        </w:rPr>
        <w:t>项目名称：村级运转经费（上级专项）</w:t>
      </w:r>
      <w:r>
        <w:rPr>
          <w:rFonts w:hint="eastAsia" w:ascii="黑体" w:hAnsi="黑体" w:eastAsia="黑体" w:cs="仿宋_GB2312"/>
          <w:color w:val="auto"/>
          <w:kern w:val="0"/>
          <w:sz w:val="32"/>
          <w:szCs w:val="32"/>
          <w:highlight w:val="none"/>
          <w:lang w:val="en-US" w:eastAsia="zh-CN"/>
        </w:rPr>
        <w:t>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项目单位：阿图什市上阿图什镇人民政府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主管部门：阿图什市上阿图什镇人民政府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10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村级运转经费（上级专项）项目支出</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根据自治州“十四五”规划及乡镇工作发展需要，按自治区乡镇工作要求，结合本单位正常运行，秩序稳定等方面管理职能、管理和监督村各项财政收支，管理各类政策性补贴等方面工作职责，按照年度工作计划，开展上阿图什镇人民政府2024年村级运转经费（上级专项）项目</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为了保证地方基层组织的正常运转，更好地促进基层群众工作的协调发展。根据《关于加强村级组织运转经费保障工作的通知》《中国共产党农村基层组织工作条例》文件要求，切实保证村级工作经费，进一步落实关于保证村级工作经费规定的具体举措，由村委员会履行各项工作，并让群众工作得到有力保障。</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根据《阿图什市上阿图什镇人民政府工作会议纪要》，本项目资金200万元</w:t>
      </w:r>
      <w:r>
        <w:rPr>
          <w:rFonts w:hint="eastAsia" w:ascii="仿宋_GB2312" w:hAnsi="仿宋_GB2312" w:cs="仿宋_GB2312"/>
          <w:color w:val="auto"/>
          <w:sz w:val="32"/>
          <w:szCs w:val="30"/>
          <w:highlight w:val="none"/>
          <w:lang w:eastAsia="zh-CN"/>
        </w:rPr>
        <w:t>，</w:t>
      </w:r>
      <w:r>
        <w:rPr>
          <w:rFonts w:hint="eastAsia" w:ascii="仿宋_GB2312" w:hAnsi="仿宋_GB2312" w:cs="仿宋_GB2312"/>
          <w:color w:val="auto"/>
          <w:sz w:val="32"/>
          <w:szCs w:val="30"/>
          <w:highlight w:val="none"/>
        </w:rPr>
        <w:t>用于各村日常运转，支付临聘人员工资劳务费等支出，确保各村日常工作正常开展，提高服务群众工作质量和效率。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上阿图什镇人民政府,实施单位为阿图什市上阿图什镇人民政府，主要职责执行本级人民代表大会决议以及上级国家行政机关的决定和命令；执行全乡的社会和经济发展计划、预算，管理本乡内的经济、教育、科技、文化、卫生、体育事业和财政、民政、治安、人民调解、安全生产监督管理等行政工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本项目的实施符合《关于加强村级组织运转经费保障工作的通知》《中国共产党农村基层组织工作条例》相关政策要求，实际保障行政村数量</w:t>
      </w:r>
      <w:r>
        <w:rPr>
          <w:rFonts w:hint="eastAsia" w:ascii="仿宋_GB2312" w:hAnsi="仿宋_GB2312" w:cs="仿宋_GB2312"/>
          <w:bCs/>
          <w:color w:val="auto"/>
          <w:sz w:val="32"/>
          <w:szCs w:val="30"/>
          <w:highlight w:val="none"/>
          <w:lang w:val="en-US" w:eastAsia="zh-CN"/>
        </w:rPr>
        <w:t>20</w:t>
      </w:r>
      <w:r>
        <w:rPr>
          <w:rFonts w:hint="eastAsia" w:ascii="仿宋_GB2312" w:hAnsi="仿宋_GB2312" w:cs="仿宋_GB2312"/>
          <w:bCs/>
          <w:color w:val="auto"/>
          <w:sz w:val="32"/>
          <w:szCs w:val="30"/>
          <w:highlight w:val="none"/>
        </w:rPr>
        <w:t>个，采购办公用品数量1批，缴纳水电网费12个月，确保各村日常工作正常开展，提高服务群众工作质量和效率。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资金投入情况：本项目总投资200万元，资金来源为本级部门预算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资金使用情况：根据项目实施情况，项目资金实际支付159.96万元，资金执行率达到</w:t>
      </w:r>
      <w:r>
        <w:rPr>
          <w:rStyle w:val="11"/>
          <w:rFonts w:hint="eastAsia" w:ascii="仿宋_GB2312" w:hAnsi="仿宋_GB2312" w:cs="仿宋_GB2312"/>
          <w:b w:val="0"/>
          <w:color w:val="auto"/>
          <w:spacing w:val="-4"/>
          <w:sz w:val="32"/>
          <w:szCs w:val="30"/>
          <w:highlight w:val="none"/>
          <w:lang w:val="en-US" w:eastAsia="zh-CN"/>
        </w:rPr>
        <w:t>80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采购办公用品及宣传用品服务成本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96.17万元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各村日常运转经费成本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48.26元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各村维修材料及其他服务成本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15.53万元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年度总体目标为：根据《阿图什市上阿图什镇人民政府工作会议纪要》，本项目资金200万元，用于各村日常运转，支付临聘人员工资劳务费等支出，确保各村日常工作正常开展，提高服务群众工作质量和效率。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年村级运转经费（上级专项）项目从预算编制合理性、资金使用合规性、项目管理的规范性、实施情况、总体绩效目标、各项绩效指标完成情况以及预算执行情况进行科学性评价。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（3）激励约束。绩效评价结果应与预算安排、政策调整、改进管理实质性挂钩，体现奖优罚劣和激励导向，有效要安排、低效要压减、无效要问责。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村级运转经费（上级专项）项目的深入调研基础上，按照《项目支出绩效评价管理办法》（财预〔2021〕10号）对于指标体系的要求和规范，建立一套适合评价村级运转经费（上级专项）项目的指标体系，从项目决策、项目过程、项目产出和项目绩效四个维度全面考察村级运转经费（上级专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村级运转经费（上级专项）项目延续项目，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jc w:val="center"/>
        <w:textAlignment w:val="auto"/>
        <w:outlineLvl w:val="9"/>
        <w:rPr>
          <w:b/>
          <w:bCs/>
          <w:color w:val="auto"/>
          <w:highlight w:val="none"/>
        </w:rPr>
      </w:pPr>
      <w:r>
        <w:rPr>
          <w:rFonts w:hint="eastAsia"/>
          <w:b/>
          <w:bCs/>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袁海德</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汪超</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阿帕尔阿吉</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村级运转经费（上级专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数据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组织管理、产出与效益效果。在此基础上，以相关的项目数据为基础，综合运用不同的评价方法，结合评价标准和评分规则，村级运转经费（上级专项）项目综合得分为97.6分，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4年村级运转经费（上级专项）项目评价得分情况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预算执行率80%</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28.6</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3条成本指标未完成</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97.6</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年村级运转经费（上级专项）项目资金达到了年初设立的绩效目标，在实施过程中取得了良好的成效，具体表现在以下几点：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根据《关于加强村级组织运转经费保障工作的通知》《中国共产党农村基层组织工作条例》相关政策要求，本年度保障行政村数量</w:t>
      </w:r>
      <w:r>
        <w:rPr>
          <w:rFonts w:hint="eastAsia" w:ascii="仿宋_GB2312" w:hAnsi="仿宋_GB2312" w:cs="仿宋_GB2312"/>
          <w:color w:val="auto"/>
          <w:sz w:val="32"/>
          <w:szCs w:val="32"/>
          <w:highlight w:val="none"/>
          <w:lang w:val="en-US" w:eastAsia="zh-CN"/>
        </w:rPr>
        <w:t>20</w:t>
      </w:r>
      <w:r>
        <w:rPr>
          <w:rFonts w:hint="eastAsia" w:ascii="仿宋_GB2312" w:hAnsi="仿宋_GB2312" w:cs="仿宋_GB2312"/>
          <w:color w:val="auto"/>
          <w:sz w:val="32"/>
          <w:szCs w:val="32"/>
          <w:highlight w:val="none"/>
        </w:rPr>
        <w:t>个，采购办公用品数量1批，缴纳水电网费12个月，确保各村日常工作正常开展，提高服务群众工作质量和效率。</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村级运转经费（上级专项）项目</w:t>
      </w:r>
      <w:r>
        <w:rPr>
          <w:rFonts w:hint="eastAsia" w:ascii="仿宋_GB2312" w:hAnsi="仿宋_GB2312" w:cs="仿宋_GB2312"/>
          <w:color w:val="auto"/>
          <w:sz w:val="32"/>
          <w:szCs w:val="32"/>
          <w:highlight w:val="none"/>
        </w:rPr>
        <w:t>支出共计159.96万元，评价得分值</w:t>
      </w:r>
      <w:r>
        <w:rPr>
          <w:rFonts w:hint="eastAsia" w:ascii="仿宋_GB2312" w:hAnsi="仿宋_GB2312" w:cs="仿宋_GB2312"/>
          <w:color w:val="auto"/>
          <w:sz w:val="32"/>
          <w:szCs w:val="32"/>
          <w:highlight w:val="none"/>
          <w:lang w:val="en-US" w:eastAsia="zh-CN"/>
        </w:rPr>
        <w:t>97.6</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村级运转经费（上级专项）项目预算依据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村级运转经费（上级专项）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w:t>
      </w:r>
      <w:bookmarkStart w:id="0" w:name="_GoBack"/>
      <w:bookmarkEnd w:id="0"/>
      <w:r>
        <w:rPr>
          <w:rFonts w:hint="eastAsia" w:ascii="仿宋_GB2312" w:hAnsi="仿宋_GB2312" w:cs="仿宋_GB2312"/>
          <w:color w:val="auto"/>
          <w:sz w:val="32"/>
          <w:szCs w:val="32"/>
          <w:highlight w:val="none"/>
        </w:rPr>
        <w:t>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村级运转经费（上级专项）项目组织形式，明确了该项目经费的开支范围为村级运转</w:t>
      </w:r>
      <w:r>
        <w:rPr>
          <w:rFonts w:hint="eastAsia" w:ascii="仿宋_GB2312" w:hAnsi="仿宋_GB2312" w:cs="仿宋_GB2312"/>
          <w:color w:val="auto"/>
          <w:sz w:val="32"/>
          <w:szCs w:val="32"/>
          <w:highlight w:val="none"/>
          <w:lang w:val="en-US" w:eastAsia="zh-CN"/>
        </w:rPr>
        <w:t>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（4）严格按照政府采购制度规范实施政府采购。对于需要实施政府采购的活动，严格实施、履行采购手续，根据村级运转经费（上级专项）项目</w:t>
      </w:r>
      <w:r>
        <w:rPr>
          <w:rFonts w:hint="eastAsia" w:ascii="仿宋_GB2312" w:hAnsi="仿宋_GB2312" w:cs="仿宋_GB2312"/>
          <w:color w:val="auto"/>
          <w:sz w:val="32"/>
          <w:szCs w:val="32"/>
          <w:highlight w:val="none"/>
          <w:lang w:val="en-US" w:eastAsia="zh-CN"/>
        </w:rPr>
        <w:t>需求</w:t>
      </w:r>
      <w:r>
        <w:rPr>
          <w:rFonts w:hint="eastAsia" w:ascii="仿宋_GB2312" w:hAnsi="仿宋_GB2312" w:cs="仿宋_GB2312"/>
          <w:color w:val="auto"/>
          <w:sz w:val="32"/>
          <w:szCs w:val="32"/>
          <w:highlight w:val="none"/>
        </w:rPr>
        <w:t>，选择合规可行的采购形式，通过政采云平台下单方式完成采购工作，将采购政策、采购程序、采购过程规范化、透明化，提升村级运转经费（上级专项）项目相关资源和</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预算资金管理制度，按照不定期检查与项目周期检查相结合的方式，对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年村级运转经费（上级专项）项目在实施阶段均制定了具体的组织实施文件，各个项目均经过项目申报、项目评审、项目核准备案、</w:t>
      </w:r>
      <w:r>
        <w:rPr>
          <w:rFonts w:hint="eastAsia" w:ascii="仿宋_GB2312" w:hAnsi="仿宋_GB2312" w:cs="仿宋_GB2312"/>
          <w:color w:val="auto"/>
          <w:sz w:val="32"/>
          <w:szCs w:val="32"/>
          <w:highlight w:val="none"/>
          <w:lang w:val="en-US" w:eastAsia="zh-CN"/>
        </w:rPr>
        <w:t>政府采购</w:t>
      </w:r>
      <w:r>
        <w:rPr>
          <w:rFonts w:hint="eastAsia" w:ascii="仿宋_GB2312" w:hAnsi="仿宋_GB2312" w:cs="仿宋_GB2312"/>
          <w:color w:val="auto"/>
          <w:sz w:val="32"/>
          <w:szCs w:val="32"/>
          <w:highlight w:val="none"/>
        </w:rPr>
        <w:t>、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数量指标为行政村数量，预期指标值是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20个，实际完成值是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20个，指标达到预期目标。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数量指标为采购办公用品数量，预期指标值是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1批，指标达到预期目标。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数量指标为缴纳水电网费，预期指标值是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质量指标为办公用品合格率，预期指标值是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质量指标为村级运转保障率，预期指标值是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成本指标为采购办公用品及宣传用品服务成本，预期指标值是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100万元，实际完成值是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96.17万元，指标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成本指标各村日常运转经费成本，预期指标值是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50元，实际完成值是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48.26元，指标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成本指标各村维修材料及其他服务成本，预期指标值是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15.53万元，指标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指标为提升公共服务能力，预期指标值是有效提升，实际完成值是有效提升，指标达到预期目标。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满意度指标为服务群众满意度，预期指标值是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rPr>
        <w:t>本项目全年预算数200万元，执行数159.96万元，执行率</w:t>
      </w:r>
      <w:r>
        <w:rPr>
          <w:rFonts w:hint="eastAsia"/>
          <w:color w:val="auto"/>
          <w:sz w:val="32"/>
          <w:highlight w:val="none"/>
          <w:lang w:val="en-US" w:eastAsia="zh-CN"/>
        </w:rPr>
        <w:t>80</w:t>
      </w:r>
      <w:r>
        <w:rPr>
          <w:rFonts w:hint="eastAsia"/>
          <w:color w:val="auto"/>
          <w:sz w:val="32"/>
          <w:highlight w:val="none"/>
        </w:rPr>
        <w:t>%，绩效指标完成率</w:t>
      </w:r>
      <w:r>
        <w:rPr>
          <w:rFonts w:hint="eastAsia"/>
          <w:color w:val="auto"/>
          <w:sz w:val="32"/>
          <w:highlight w:val="none"/>
          <w:lang w:val="en-US" w:eastAsia="zh-CN"/>
        </w:rPr>
        <w:t>93.10</w:t>
      </w:r>
      <w:r>
        <w:rPr>
          <w:rFonts w:hint="eastAsia"/>
          <w:color w:val="auto"/>
          <w:sz w:val="32"/>
          <w:highlight w:val="none"/>
        </w:rPr>
        <w:t>%，偏差率</w:t>
      </w:r>
      <w:r>
        <w:rPr>
          <w:rFonts w:hint="eastAsia"/>
          <w:color w:val="auto"/>
          <w:sz w:val="32"/>
          <w:highlight w:val="none"/>
          <w:lang w:val="en-US" w:eastAsia="zh-CN"/>
        </w:rPr>
        <w:t>13.10</w:t>
      </w:r>
      <w:r>
        <w:rPr>
          <w:rFonts w:hint="eastAsia"/>
          <w:color w:val="auto"/>
          <w:sz w:val="32"/>
          <w:highlight w:val="none"/>
        </w:rPr>
        <w:t>%。偏差原因：项目</w:t>
      </w:r>
      <w:r>
        <w:rPr>
          <w:rFonts w:hint="eastAsia"/>
          <w:color w:val="auto"/>
          <w:sz w:val="32"/>
          <w:highlight w:val="none"/>
          <w:lang w:val="en-US" w:eastAsia="zh-CN"/>
        </w:rPr>
        <w:t>资金根据实际提供的付款资料进行拨付</w:t>
      </w:r>
      <w:r>
        <w:rPr>
          <w:rFonts w:hint="eastAsia"/>
          <w:color w:val="auto"/>
          <w:sz w:val="32"/>
          <w:highlight w:val="none"/>
        </w:rPr>
        <w:t>，</w:t>
      </w:r>
      <w:r>
        <w:rPr>
          <w:rFonts w:hint="eastAsia"/>
          <w:color w:val="auto"/>
          <w:sz w:val="32"/>
          <w:highlight w:val="none"/>
          <w:lang w:val="en-US" w:eastAsia="zh-CN"/>
        </w:rPr>
        <w:t>剩余资金因支出材料不全，未能按时拨付</w:t>
      </w:r>
      <w:r>
        <w:rPr>
          <w:rFonts w:hint="eastAsia"/>
          <w:color w:val="auto"/>
          <w:sz w:val="32"/>
          <w:highlight w:val="none"/>
        </w:rPr>
        <w:t>，</w:t>
      </w:r>
      <w:r>
        <w:rPr>
          <w:rFonts w:hint="eastAsia"/>
          <w:color w:val="auto"/>
          <w:sz w:val="32"/>
          <w:highlight w:val="none"/>
          <w:lang w:val="en-US" w:eastAsia="zh-CN"/>
        </w:rPr>
        <w:t>预算执行率未达预期目标</w:t>
      </w:r>
      <w:r>
        <w:rPr>
          <w:rFonts w:hint="eastAsia"/>
          <w:color w:val="auto"/>
          <w:sz w:val="32"/>
          <w:highlight w:val="none"/>
        </w:rPr>
        <w:t>，成本指标均存在偏差，待提高预算执行进度和工作效率。</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cs="宋体"/>
          <w:b w:val="0"/>
          <w:bCs w:val="0"/>
          <w:color w:val="auto"/>
          <w:kern w:val="2"/>
          <w:sz w:val="32"/>
          <w:szCs w:val="32"/>
          <w:highlight w:val="none"/>
          <w:lang w:val="en-US" w:eastAsia="zh-CN" w:bidi="ar-SA"/>
        </w:rPr>
      </w:pPr>
      <w:r>
        <w:rPr>
          <w:rFonts w:hint="eastAsia" w:ascii="仿宋_GB2312" w:hAnsi="仿宋" w:eastAsia="仿宋_GB2312" w:cs="宋体"/>
          <w:b w:val="0"/>
          <w:bCs w:val="0"/>
          <w:color w:val="auto"/>
          <w:kern w:val="2"/>
          <w:sz w:val="32"/>
          <w:szCs w:val="32"/>
          <w:highlight w:val="none"/>
          <w:lang w:val="en-US" w:eastAsia="zh-CN" w:bidi="ar-SA"/>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97.6</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CEFE5"/>
    <w:multiLevelType w:val="multilevel"/>
    <w:tmpl w:val="68CCEFE5"/>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CEFF0"/>
    <w:multiLevelType w:val="singleLevel"/>
    <w:tmpl w:val="68CCEFF0"/>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61175EF3"/>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34BD9B78983D4B988491B45CB07BBBA8_13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dc88d0-1533-421e-b7f0-2d4819c23fe6}">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8690</Words>
  <Characters>9049</Characters>
  <Lines>56</Lines>
  <Paragraphs>15</Paragraphs>
  <TotalTime>21</TotalTime>
  <ScaleCrop>false</ScaleCrop>
  <LinksUpToDate>false</LinksUpToDate>
  <CharactersWithSpaces>9059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2025-09-19T05:56:46Z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34BD9B78983D4B988491B45CB07BBBA8_13</vt:lpwstr>
  </property>
  <property fmtid="{D5CDD505-2E9C-101B-9397-08002B2CF9AE}" pid="4" name="KSOTemplateDocerSaveRecord">
    <vt:lpwstr>eyJoZGlkIjoiYzZkNzQ4ZWFiZmQ4NTRhOWRkZTk3YTMwMjlmMmZhYmUiLCJ1c2VySWQiOiI1NzgxMjU4NDIifQ_x003D__x003D_</vt:lpwstr>
  </property>
</Properties>
</file>