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阿图什市新城街道办事处社区卫生服务中心2024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9D937B">
      <w:r>
        <w:br w:type="page"/>
      </w:r>
    </w:p>
    <w:p w14:paraId="03A04B1D">
      <w:pPr>
        <w:spacing w:line="640" w:lineRule="exact"/>
        <w:jc w:val="center"/>
        <w:outlineLvl w:val="1"/>
      </w:pPr>
      <w:r>
        <w:rPr>
          <w:rFonts w:ascii="黑体" w:hAnsi="黑体" w:eastAsia="黑体"/>
          <w:sz w:val="32"/>
        </w:rPr>
        <w:t>第一部分 单位概况</w:t>
      </w:r>
    </w:p>
    <w:p w14:paraId="63AAE2A3">
      <w:pPr>
        <w:spacing w:line="640" w:lineRule="exact"/>
        <w:ind w:firstLine="640"/>
        <w:jc w:val="both"/>
        <w:outlineLvl w:val="2"/>
      </w:pPr>
      <w:r>
        <w:rPr>
          <w:rFonts w:ascii="黑体" w:hAnsi="黑体" w:eastAsia="黑体"/>
          <w:sz w:val="32"/>
        </w:rPr>
        <w:t>一、主要职能</w:t>
      </w:r>
    </w:p>
    <w:p w14:paraId="3D586FA7">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eastAsia="zh-CN"/>
        </w:rPr>
        <w:t>承担</w:t>
      </w:r>
      <w:r>
        <w:rPr>
          <w:rFonts w:ascii="仿宋_GB2312" w:hAnsi="仿宋_GB2312" w:eastAsia="仿宋_GB2312"/>
          <w:sz w:val="32"/>
        </w:rPr>
        <w:t>全民康复</w:t>
      </w:r>
      <w:r>
        <w:rPr>
          <w:rFonts w:hint="eastAsia" w:ascii="仿宋_GB2312" w:hAnsi="仿宋_GB2312" w:eastAsia="仿宋_GB2312"/>
          <w:sz w:val="32"/>
          <w:lang w:eastAsia="zh-CN"/>
        </w:rPr>
        <w:t>日常服务</w:t>
      </w:r>
      <w:r>
        <w:rPr>
          <w:rFonts w:ascii="仿宋_GB2312" w:hAnsi="仿宋_GB2312" w:eastAsia="仿宋_GB2312"/>
          <w:sz w:val="32"/>
        </w:rPr>
        <w:t>工作。</w:t>
      </w:r>
    </w:p>
    <w:p w14:paraId="0F0CE05F">
      <w:pPr>
        <w:spacing w:line="580" w:lineRule="exact"/>
        <w:ind w:firstLine="640"/>
        <w:jc w:val="both"/>
      </w:pPr>
      <w:r>
        <w:rPr>
          <w:rFonts w:ascii="仿宋_GB2312" w:hAnsi="仿宋_GB2312" w:eastAsia="仿宋_GB2312"/>
          <w:sz w:val="32"/>
        </w:rPr>
        <w:t>2.</w:t>
      </w:r>
      <w:r>
        <w:rPr>
          <w:rFonts w:hint="eastAsia" w:ascii="仿宋_GB2312" w:hAnsi="仿宋_GB2312" w:eastAsia="仿宋_GB2312"/>
          <w:sz w:val="32"/>
          <w:lang w:eastAsia="zh-CN"/>
        </w:rPr>
        <w:t>承担</w:t>
      </w:r>
      <w:r>
        <w:rPr>
          <w:rFonts w:ascii="仿宋_GB2312" w:hAnsi="仿宋_GB2312" w:eastAsia="仿宋_GB2312"/>
          <w:sz w:val="32"/>
        </w:rPr>
        <w:t>城乡居民</w:t>
      </w:r>
      <w:r>
        <w:rPr>
          <w:rFonts w:hint="eastAsia" w:ascii="仿宋_GB2312" w:hAnsi="仿宋_GB2312" w:eastAsia="仿宋_GB2312"/>
          <w:sz w:val="32"/>
          <w:lang w:eastAsia="zh-CN"/>
        </w:rPr>
        <w:t>、职工</w:t>
      </w:r>
      <w:r>
        <w:rPr>
          <w:rFonts w:ascii="仿宋_GB2312" w:hAnsi="仿宋_GB2312" w:eastAsia="仿宋_GB2312"/>
          <w:sz w:val="32"/>
        </w:rPr>
        <w:t>等医疗工作。</w:t>
      </w:r>
    </w:p>
    <w:p w14:paraId="2D71946C">
      <w:pPr>
        <w:spacing w:line="580" w:lineRule="exact"/>
        <w:ind w:firstLine="640"/>
        <w:jc w:val="both"/>
      </w:pPr>
      <w:r>
        <w:rPr>
          <w:rFonts w:ascii="仿宋_GB2312" w:hAnsi="仿宋_GB2312" w:eastAsia="仿宋_GB2312"/>
          <w:sz w:val="32"/>
        </w:rPr>
        <w:t>3.</w:t>
      </w:r>
      <w:r>
        <w:rPr>
          <w:rFonts w:hint="eastAsia" w:ascii="仿宋_GB2312" w:hAnsi="仿宋_GB2312" w:eastAsia="仿宋_GB2312"/>
          <w:sz w:val="32"/>
          <w:lang w:eastAsia="zh-CN"/>
        </w:rPr>
        <w:t>承担全民</w:t>
      </w:r>
      <w:r>
        <w:rPr>
          <w:rFonts w:ascii="仿宋_GB2312" w:hAnsi="仿宋_GB2312" w:eastAsia="仿宋_GB2312"/>
          <w:sz w:val="32"/>
        </w:rPr>
        <w:t>基本公共卫生14项服务工作。</w:t>
      </w:r>
    </w:p>
    <w:p w14:paraId="54E57154">
      <w:pPr>
        <w:spacing w:line="580" w:lineRule="exact"/>
        <w:ind w:firstLine="640"/>
        <w:jc w:val="both"/>
      </w:pPr>
      <w:r>
        <w:rPr>
          <w:rFonts w:ascii="仿宋_GB2312" w:hAnsi="仿宋_GB2312" w:eastAsia="仿宋_GB2312"/>
          <w:sz w:val="32"/>
        </w:rPr>
        <w:t>4.</w:t>
      </w:r>
      <w:r>
        <w:rPr>
          <w:rFonts w:hint="eastAsia" w:ascii="仿宋_GB2312" w:hAnsi="仿宋_GB2312" w:eastAsia="仿宋_GB2312"/>
          <w:sz w:val="32"/>
          <w:lang w:eastAsia="zh-CN"/>
        </w:rPr>
        <w:t>承担全民</w:t>
      </w:r>
      <w:r>
        <w:rPr>
          <w:rFonts w:ascii="仿宋_GB2312" w:hAnsi="仿宋_GB2312" w:eastAsia="仿宋_GB2312"/>
          <w:sz w:val="32"/>
        </w:rPr>
        <w:t>免费体检工作。</w:t>
      </w:r>
    </w:p>
    <w:p w14:paraId="6F6FD9C3">
      <w:pPr>
        <w:spacing w:line="640" w:lineRule="exact"/>
        <w:ind w:firstLine="640"/>
        <w:jc w:val="both"/>
        <w:outlineLvl w:val="2"/>
      </w:pPr>
      <w:r>
        <w:rPr>
          <w:rFonts w:ascii="黑体" w:hAnsi="黑体" w:eastAsia="黑体"/>
          <w:sz w:val="32"/>
        </w:rPr>
        <w:t>二、机构设置及人员情况</w:t>
      </w:r>
    </w:p>
    <w:p w14:paraId="71B4A541">
      <w:pPr>
        <w:spacing w:line="580" w:lineRule="exact"/>
        <w:ind w:firstLine="640"/>
        <w:jc w:val="both"/>
      </w:pPr>
      <w:r>
        <w:rPr>
          <w:rFonts w:ascii="仿宋_GB2312" w:hAnsi="仿宋_GB2312" w:eastAsia="仿宋_GB2312"/>
          <w:sz w:val="32"/>
        </w:rPr>
        <w:t>阿图什市新城街道办事处社区卫生服务中心2024年度，实有人数10人，其中：在职人员10人，增加0人；离休人员0人，增加0人；退休人员0人,增加0人。</w:t>
      </w:r>
    </w:p>
    <w:p w14:paraId="5BBF6971">
      <w:pPr>
        <w:spacing w:line="580" w:lineRule="exact"/>
        <w:ind w:firstLine="640"/>
        <w:jc w:val="both"/>
      </w:pPr>
      <w:r>
        <w:rPr>
          <w:rFonts w:ascii="仿宋_GB2312" w:hAnsi="仿宋_GB2312" w:eastAsia="仿宋_GB2312"/>
          <w:sz w:val="32"/>
        </w:rPr>
        <w:t>阿图什市新城街道办事处社区卫生服务中心无下属预算单位，下设5个科室，分别是：业务科、公共卫生科、财务科、防疫科、妇幼科。</w:t>
      </w:r>
    </w:p>
    <w:p w14:paraId="38D5D24B">
      <w:r>
        <w:br w:type="page"/>
      </w:r>
    </w:p>
    <w:p w14:paraId="0D015A68">
      <w:pPr>
        <w:spacing w:line="240" w:lineRule="auto"/>
        <w:jc w:val="center"/>
        <w:outlineLvl w:val="1"/>
      </w:pPr>
      <w:r>
        <w:rPr>
          <w:rFonts w:ascii="黑体" w:hAnsi="黑体" w:eastAsia="黑体"/>
          <w:sz w:val="32"/>
        </w:rPr>
        <w:t>第二部分 部门决算情况说明</w:t>
      </w:r>
    </w:p>
    <w:p w14:paraId="130C0C12">
      <w:pPr>
        <w:spacing w:line="640" w:lineRule="exact"/>
        <w:ind w:firstLine="640"/>
        <w:jc w:val="both"/>
        <w:outlineLvl w:val="2"/>
      </w:pPr>
      <w:r>
        <w:rPr>
          <w:rFonts w:ascii="黑体" w:hAnsi="黑体" w:eastAsia="黑体"/>
          <w:sz w:val="32"/>
        </w:rPr>
        <w:t>一、收入支出决算总体情况说明</w:t>
      </w:r>
    </w:p>
    <w:p w14:paraId="69ED3741">
      <w:pPr>
        <w:spacing w:line="580" w:lineRule="exact"/>
        <w:ind w:firstLine="640"/>
        <w:jc w:val="both"/>
      </w:pPr>
      <w:r>
        <w:rPr>
          <w:rFonts w:ascii="仿宋_GB2312" w:hAnsi="仿宋_GB2312" w:eastAsia="仿宋_GB2312"/>
          <w:b/>
          <w:sz w:val="32"/>
        </w:rPr>
        <w:t>2024年度收入总计254.18万元，</w:t>
      </w:r>
      <w:r>
        <w:rPr>
          <w:rFonts w:ascii="仿宋_GB2312" w:hAnsi="仿宋_GB2312" w:eastAsia="仿宋_GB2312"/>
          <w:b w:val="0"/>
          <w:sz w:val="32"/>
        </w:rPr>
        <w:t>其中：本年收入合计254.18万元，使用非财政拨款结余（含专用结余）0.00万元，年初结转和结余0.00万元。</w:t>
      </w:r>
    </w:p>
    <w:p w14:paraId="05118A17">
      <w:pPr>
        <w:spacing w:line="580" w:lineRule="exact"/>
        <w:ind w:firstLine="640"/>
        <w:jc w:val="both"/>
      </w:pPr>
      <w:r>
        <w:rPr>
          <w:rFonts w:ascii="仿宋_GB2312" w:hAnsi="仿宋_GB2312" w:eastAsia="仿宋_GB2312"/>
          <w:b/>
          <w:sz w:val="32"/>
        </w:rPr>
        <w:t>2024年度支出总计254.18万元，</w:t>
      </w:r>
      <w:r>
        <w:rPr>
          <w:rFonts w:ascii="仿宋_GB2312" w:hAnsi="仿宋_GB2312" w:eastAsia="仿宋_GB2312"/>
          <w:b w:val="0"/>
          <w:sz w:val="32"/>
        </w:rPr>
        <w:t>其中：本年支出合计246.97万元，结余分配7.21万元，年末结转和结余0.00万元。</w:t>
      </w:r>
    </w:p>
    <w:p w14:paraId="0BA69AD5">
      <w:pPr>
        <w:spacing w:line="580" w:lineRule="exact"/>
        <w:ind w:firstLine="640"/>
        <w:jc w:val="both"/>
      </w:pPr>
      <w:r>
        <w:rPr>
          <w:rFonts w:ascii="仿宋_GB2312" w:hAnsi="仿宋_GB2312" w:eastAsia="仿宋_GB2312"/>
          <w:b w:val="0"/>
          <w:sz w:val="32"/>
        </w:rPr>
        <w:t>收入支出总体与上年相比，增加54.04万元，增长27.00%，主要原因是：门诊医疗上年度年底才开展，本年正常开展，故本年事业收入较上年增加。本年在职人员工资调增，社保、公积金基数调增，人员经费增加。</w:t>
      </w:r>
    </w:p>
    <w:p w14:paraId="58C034A8">
      <w:pPr>
        <w:spacing w:line="640" w:lineRule="exact"/>
        <w:ind w:firstLine="640"/>
        <w:jc w:val="both"/>
        <w:outlineLvl w:val="2"/>
      </w:pPr>
      <w:r>
        <w:rPr>
          <w:rFonts w:ascii="黑体" w:hAnsi="黑体" w:eastAsia="黑体"/>
          <w:sz w:val="32"/>
        </w:rPr>
        <w:t>二、收入决算情况说明</w:t>
      </w:r>
    </w:p>
    <w:p w14:paraId="053FBAFE">
      <w:pPr>
        <w:spacing w:line="580" w:lineRule="exact"/>
        <w:ind w:firstLine="640"/>
        <w:jc w:val="both"/>
      </w:pPr>
      <w:r>
        <w:rPr>
          <w:rFonts w:ascii="仿宋_GB2312" w:hAnsi="仿宋_GB2312" w:eastAsia="仿宋_GB2312"/>
          <w:b/>
          <w:sz w:val="32"/>
        </w:rPr>
        <w:t>本年收入254.18万元，</w:t>
      </w:r>
      <w:r>
        <w:rPr>
          <w:rFonts w:ascii="仿宋_GB2312" w:hAnsi="仿宋_GB2312" w:eastAsia="仿宋_GB2312"/>
          <w:b w:val="0"/>
          <w:sz w:val="32"/>
        </w:rPr>
        <w:t>其中：财政拨款收入202.63万元，占79.72%；上级补助收入0.00万元，占0.00%；事业收入42.57万元，占16.75%；经营收入0.00万元，占0.00%；附属单位上缴收入0.00万元，占0.00%；其他收入8.98万元，占3.53%。</w:t>
      </w:r>
    </w:p>
    <w:p w14:paraId="61FBF927">
      <w:pPr>
        <w:spacing w:line="640" w:lineRule="exact"/>
        <w:ind w:firstLine="640"/>
        <w:jc w:val="both"/>
        <w:outlineLvl w:val="2"/>
      </w:pPr>
      <w:r>
        <w:rPr>
          <w:rFonts w:ascii="黑体" w:hAnsi="黑体" w:eastAsia="黑体"/>
          <w:sz w:val="32"/>
        </w:rPr>
        <w:t>三、支出决算情况说明</w:t>
      </w:r>
    </w:p>
    <w:p w14:paraId="5CFC4A31">
      <w:pPr>
        <w:spacing w:line="580" w:lineRule="exact"/>
        <w:ind w:firstLine="640"/>
        <w:jc w:val="both"/>
      </w:pPr>
      <w:r>
        <w:rPr>
          <w:rFonts w:ascii="仿宋_GB2312" w:hAnsi="仿宋_GB2312" w:eastAsia="仿宋_GB2312"/>
          <w:b/>
          <w:sz w:val="32"/>
        </w:rPr>
        <w:t>本年支出246.97万元，</w:t>
      </w:r>
      <w:r>
        <w:rPr>
          <w:rFonts w:ascii="仿宋_GB2312" w:hAnsi="仿宋_GB2312" w:eastAsia="仿宋_GB2312"/>
          <w:b w:val="0"/>
          <w:sz w:val="32"/>
        </w:rPr>
        <w:t>其中：基本支出197.66万元，占80.03%；项目支出49.31万元，占19.97%；上缴上级支出0.00万元，占0.00%；经营支出0.00万元，占0.00%；对附属单位补助支出0.00万元，占0.00%。</w:t>
      </w:r>
    </w:p>
    <w:p w14:paraId="48879E45">
      <w:pPr>
        <w:spacing w:line="640" w:lineRule="exact"/>
        <w:ind w:firstLine="640"/>
        <w:jc w:val="both"/>
        <w:outlineLvl w:val="2"/>
      </w:pPr>
      <w:r>
        <w:rPr>
          <w:rFonts w:ascii="黑体" w:hAnsi="黑体" w:eastAsia="黑体"/>
          <w:sz w:val="32"/>
        </w:rPr>
        <w:t>四、财政拨款收入支出决算总体情况说明</w:t>
      </w:r>
    </w:p>
    <w:p w14:paraId="6BF97C44">
      <w:pPr>
        <w:spacing w:line="580" w:lineRule="exact"/>
        <w:ind w:firstLine="640"/>
        <w:jc w:val="both"/>
      </w:pPr>
      <w:r>
        <w:rPr>
          <w:rFonts w:ascii="仿宋_GB2312" w:hAnsi="仿宋_GB2312" w:eastAsia="仿宋_GB2312"/>
          <w:b/>
          <w:sz w:val="32"/>
        </w:rPr>
        <w:t>2024年度财政拨款收入总计202.63万元，</w:t>
      </w:r>
      <w:r>
        <w:rPr>
          <w:rFonts w:ascii="仿宋_GB2312" w:hAnsi="仿宋_GB2312" w:eastAsia="仿宋_GB2312"/>
          <w:b w:val="0"/>
          <w:sz w:val="32"/>
        </w:rPr>
        <w:t>其中：年初财政拨款结转和结余0.00万元，本年财政拨款收入202.63万元。</w:t>
      </w:r>
      <w:r>
        <w:rPr>
          <w:rFonts w:ascii="仿宋_GB2312" w:hAnsi="仿宋_GB2312" w:eastAsia="仿宋_GB2312"/>
          <w:b/>
          <w:sz w:val="32"/>
        </w:rPr>
        <w:t>财政拨款支出总计202.63万元，</w:t>
      </w:r>
      <w:r>
        <w:rPr>
          <w:rFonts w:ascii="仿宋_GB2312" w:hAnsi="仿宋_GB2312" w:eastAsia="仿宋_GB2312"/>
          <w:b w:val="0"/>
          <w:sz w:val="32"/>
        </w:rPr>
        <w:t>其中：年末财政拨款结转和结余0.00万元，本年财政拨款支出202.63万元。</w:t>
      </w:r>
    </w:p>
    <w:p w14:paraId="2073F1F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增加28.09万元，增长16.09%，主要原因是：本年</w:t>
      </w:r>
      <w:r>
        <w:rPr>
          <w:rFonts w:hint="eastAsia" w:ascii="仿宋_GB2312" w:hAnsi="仿宋_GB2312" w:eastAsia="仿宋_GB2312"/>
          <w:b w:val="0"/>
          <w:sz w:val="32"/>
        </w:rPr>
        <w:t>基本药物补助收入和全面健康体检补助收入</w:t>
      </w:r>
      <w:r>
        <w:rPr>
          <w:rFonts w:ascii="仿宋_GB2312" w:hAnsi="仿宋_GB2312" w:eastAsia="仿宋_GB2312"/>
          <w:b w:val="0"/>
          <w:sz w:val="32"/>
        </w:rPr>
        <w:t>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年初预算数218.50万元，决算数202.63万元，预决算差异率-7.26%，主要原因是：严格落实中央八项规定精神，厉行节约，减少不必要的开支。</w:t>
      </w:r>
    </w:p>
    <w:p w14:paraId="3BB9982E">
      <w:pPr>
        <w:spacing w:line="640" w:lineRule="exact"/>
        <w:ind w:firstLine="640"/>
        <w:jc w:val="both"/>
        <w:outlineLvl w:val="2"/>
      </w:pPr>
      <w:r>
        <w:rPr>
          <w:rFonts w:ascii="黑体" w:hAnsi="黑体" w:eastAsia="黑体"/>
          <w:sz w:val="32"/>
        </w:rPr>
        <w:t>五、一般公共预算财政拨款支出决算情况说明</w:t>
      </w:r>
    </w:p>
    <w:p w14:paraId="2630C3E4">
      <w:pPr>
        <w:spacing w:line="640" w:lineRule="exact"/>
        <w:ind w:firstLine="640"/>
        <w:jc w:val="both"/>
        <w:outlineLvl w:val="3"/>
      </w:pPr>
      <w:r>
        <w:rPr>
          <w:rFonts w:ascii="楷体_GB2312" w:hAnsi="楷体_GB2312" w:eastAsia="楷体_GB2312"/>
          <w:b/>
          <w:sz w:val="32"/>
        </w:rPr>
        <w:t>（一）一般公共预算财政拨款支出决算总体情况</w:t>
      </w:r>
    </w:p>
    <w:p w14:paraId="5F8C7871">
      <w:pPr>
        <w:spacing w:line="580" w:lineRule="exact"/>
        <w:ind w:firstLine="640"/>
        <w:jc w:val="both"/>
      </w:pPr>
      <w:r>
        <w:rPr>
          <w:rFonts w:ascii="仿宋_GB2312" w:hAnsi="仿宋_GB2312" w:eastAsia="仿宋_GB2312"/>
          <w:b/>
          <w:sz w:val="32"/>
        </w:rPr>
        <w:t>2024年度一般公共预算财政拨款支出202.53万元，</w:t>
      </w:r>
      <w:r>
        <w:rPr>
          <w:rFonts w:ascii="仿宋_GB2312" w:hAnsi="仿宋_GB2312" w:eastAsia="仿宋_GB2312"/>
          <w:b w:val="0"/>
          <w:sz w:val="32"/>
        </w:rPr>
        <w:t>占本年支出合计的82.01%。</w:t>
      </w:r>
      <w:r>
        <w:rPr>
          <w:rFonts w:ascii="仿宋_GB2312" w:hAnsi="仿宋_GB2312" w:eastAsia="仿宋_GB2312"/>
          <w:b/>
          <w:sz w:val="32"/>
        </w:rPr>
        <w:t>与上年相比，</w:t>
      </w:r>
      <w:r>
        <w:rPr>
          <w:rFonts w:ascii="仿宋_GB2312" w:hAnsi="仿宋_GB2312" w:eastAsia="仿宋_GB2312"/>
          <w:b w:val="0"/>
          <w:sz w:val="32"/>
        </w:rPr>
        <w:t>增加27.99万元，增长16.04%，主要原因是：本年</w:t>
      </w:r>
      <w:r>
        <w:rPr>
          <w:rFonts w:hint="eastAsia" w:ascii="仿宋_GB2312" w:hAnsi="仿宋_GB2312" w:eastAsia="仿宋_GB2312"/>
          <w:b w:val="0"/>
          <w:sz w:val="32"/>
        </w:rPr>
        <w:t>基本药物补助收入和全面健康体检补助收入</w:t>
      </w:r>
      <w:r>
        <w:rPr>
          <w:rFonts w:ascii="仿宋_GB2312" w:hAnsi="仿宋_GB2312" w:eastAsia="仿宋_GB2312"/>
          <w:b w:val="0"/>
          <w:sz w:val="32"/>
        </w:rPr>
        <w:t>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年初预算数218.50万元，决算数202.53万元，预决算差异率-7.31%，主要原因是：严格落实中央八项规定精神，厉行节约，减少不必要的开支。</w:t>
      </w:r>
    </w:p>
    <w:p w14:paraId="32D31463">
      <w:pPr>
        <w:spacing w:line="640" w:lineRule="exact"/>
        <w:ind w:firstLine="640"/>
        <w:jc w:val="both"/>
        <w:outlineLvl w:val="3"/>
      </w:pPr>
      <w:r>
        <w:rPr>
          <w:rFonts w:ascii="楷体_GB2312" w:hAnsi="楷体_GB2312" w:eastAsia="楷体_GB2312"/>
          <w:b/>
          <w:sz w:val="32"/>
        </w:rPr>
        <w:t>（二）一般公共预算财政拨款支出决算结构情况</w:t>
      </w:r>
    </w:p>
    <w:p w14:paraId="1B2CAD81">
      <w:pPr>
        <w:spacing w:line="580" w:lineRule="exact"/>
        <w:ind w:firstLine="640"/>
        <w:jc w:val="both"/>
      </w:pPr>
      <w:r>
        <w:rPr>
          <w:rFonts w:ascii="仿宋_GB2312" w:hAnsi="仿宋_GB2312" w:eastAsia="仿宋_GB2312"/>
          <w:b w:val="0"/>
          <w:sz w:val="32"/>
        </w:rPr>
        <w:t>1.社会保障和就业支出(类)14.75万元,占7.28%。</w:t>
      </w:r>
    </w:p>
    <w:p w14:paraId="52E0DD64">
      <w:pPr>
        <w:spacing w:line="580" w:lineRule="exact"/>
        <w:ind w:firstLine="640"/>
        <w:jc w:val="both"/>
      </w:pPr>
      <w:r>
        <w:rPr>
          <w:rFonts w:ascii="仿宋_GB2312" w:hAnsi="仿宋_GB2312" w:eastAsia="仿宋_GB2312"/>
          <w:b w:val="0"/>
          <w:sz w:val="32"/>
        </w:rPr>
        <w:t>2.卫生健康支出(类)175.75万元,占86.78%。</w:t>
      </w:r>
    </w:p>
    <w:p w14:paraId="27704CBA">
      <w:pPr>
        <w:spacing w:line="580" w:lineRule="exact"/>
        <w:ind w:firstLine="640"/>
        <w:jc w:val="both"/>
      </w:pPr>
      <w:r>
        <w:rPr>
          <w:rFonts w:ascii="仿宋_GB2312" w:hAnsi="仿宋_GB2312" w:eastAsia="仿宋_GB2312"/>
          <w:b w:val="0"/>
          <w:sz w:val="32"/>
        </w:rPr>
        <w:t>3.住房保障支出(类)12.04万元,占5.94%。</w:t>
      </w:r>
    </w:p>
    <w:p w14:paraId="74FC207B">
      <w:pPr>
        <w:spacing w:line="640" w:lineRule="exact"/>
        <w:ind w:firstLine="640"/>
        <w:jc w:val="both"/>
        <w:outlineLvl w:val="3"/>
      </w:pPr>
      <w:r>
        <w:rPr>
          <w:rFonts w:ascii="楷体_GB2312" w:hAnsi="楷体_GB2312" w:eastAsia="楷体_GB2312"/>
          <w:b/>
          <w:sz w:val="32"/>
        </w:rPr>
        <w:t>（三）一般公共预算财政拨款支出决算具体情况</w:t>
      </w:r>
    </w:p>
    <w:p w14:paraId="1069B969">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14.73万元，比上年决算增加14.73万元，增长100.00%,主要原因是：本年功能科目调整，养老保险缴费上年度在主科目列支，本年单独列支，导致经费较上年增加。</w:t>
      </w:r>
    </w:p>
    <w:p w14:paraId="2D97BD8C">
      <w:pPr>
        <w:spacing w:line="580" w:lineRule="exact"/>
        <w:ind w:firstLine="640"/>
        <w:jc w:val="both"/>
      </w:pPr>
      <w:r>
        <w:rPr>
          <w:rFonts w:ascii="仿宋_GB2312" w:hAnsi="仿宋_GB2312" w:eastAsia="仿宋_GB2312"/>
          <w:b w:val="0"/>
          <w:sz w:val="32"/>
        </w:rPr>
        <w:t>2.社会保障和就业支出(类)社会福利(款)老年福利(项):支出决算数为0.02万元，比上年决算增加0.02万元，增长100.00%,主要原因是：本年增加80岁以上高龄老人基本生活和免费体检项目。</w:t>
      </w:r>
    </w:p>
    <w:p w14:paraId="1D79EB71">
      <w:pPr>
        <w:spacing w:line="580" w:lineRule="exact"/>
        <w:ind w:firstLine="640"/>
        <w:jc w:val="both"/>
      </w:pPr>
      <w:r>
        <w:rPr>
          <w:rFonts w:ascii="仿宋_GB2312" w:hAnsi="仿宋_GB2312" w:eastAsia="仿宋_GB2312"/>
          <w:b w:val="0"/>
          <w:sz w:val="32"/>
        </w:rPr>
        <w:t>3.卫生健康支出(类)基层医疗卫生机构(款)城市社区卫生机构(项):支出决算数为121.64万元，比上年决算减少19.58万元，下降13.86%,主要原因是：本年功能科目调整，养老保险缴费</w:t>
      </w:r>
      <w:r>
        <w:rPr>
          <w:rFonts w:hint="eastAsia" w:ascii="仿宋_GB2312" w:hAnsi="仿宋_GB2312" w:eastAsia="仿宋_GB2312"/>
          <w:b w:val="0"/>
          <w:sz w:val="32"/>
          <w:lang w:eastAsia="zh-CN"/>
        </w:rPr>
        <w:t>、</w:t>
      </w:r>
      <w:r>
        <w:rPr>
          <w:rFonts w:ascii="仿宋_GB2312" w:hAnsi="仿宋_GB2312" w:eastAsia="仿宋_GB2312"/>
          <w:b w:val="0"/>
          <w:sz w:val="32"/>
        </w:rPr>
        <w:t>事业单位医疗</w:t>
      </w:r>
      <w:r>
        <w:rPr>
          <w:rFonts w:hint="eastAsia" w:ascii="仿宋_GB2312" w:hAnsi="仿宋_GB2312" w:eastAsia="仿宋_GB2312"/>
          <w:b w:val="0"/>
          <w:sz w:val="32"/>
          <w:lang w:eastAsia="zh-CN"/>
        </w:rPr>
        <w:t>、</w:t>
      </w:r>
      <w:r>
        <w:rPr>
          <w:rFonts w:ascii="仿宋_GB2312" w:hAnsi="仿宋_GB2312" w:eastAsia="仿宋_GB2312"/>
          <w:b w:val="0"/>
          <w:sz w:val="32"/>
        </w:rPr>
        <w:t>住房公积金上年度在主科目列支，本年单独列支，导致经费较上年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2BDE1348">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4.卫生健康支出(类)基层医疗卫生机构(款)其他基层医疗卫生机构支出(项):支出决算数为1.50万元，比上年决算增加0.56万元，增长59.57%,主要原因是：本年基本药物制度补助资金较上年增加。</w:t>
      </w:r>
    </w:p>
    <w:p w14:paraId="4D3025D6">
      <w:pPr>
        <w:spacing w:line="580" w:lineRule="exact"/>
        <w:ind w:firstLine="640"/>
        <w:jc w:val="both"/>
      </w:pPr>
      <w:r>
        <w:rPr>
          <w:rFonts w:ascii="仿宋_GB2312" w:hAnsi="仿宋_GB2312" w:eastAsia="仿宋_GB2312"/>
          <w:b w:val="0"/>
          <w:sz w:val="32"/>
        </w:rPr>
        <w:t>5.卫生健康支出(类)公共卫生(款)基本公共卫生服务(项):支出决算数为18.93万元，比上年决算增加0.18万元，增长0.96%,主要原因是：本年增加自治区基本公共卫生服务补助资金。</w:t>
      </w:r>
    </w:p>
    <w:p w14:paraId="6E8B756C">
      <w:pPr>
        <w:spacing w:line="580" w:lineRule="exact"/>
        <w:ind w:firstLine="640"/>
        <w:jc w:val="both"/>
      </w:pPr>
      <w:r>
        <w:rPr>
          <w:rFonts w:ascii="仿宋_GB2312" w:hAnsi="仿宋_GB2312" w:eastAsia="仿宋_GB2312"/>
          <w:b w:val="0"/>
          <w:sz w:val="32"/>
        </w:rPr>
        <w:t>6.卫生健康支出(类)公共卫生(款)其他公共卫生支出(项):支出决算数为28.77万元，比上年决算增加15.57万元，增长117.95%,主要原因是：本年自治区全民健康体检补助资金较上年增加。</w:t>
      </w:r>
    </w:p>
    <w:p w14:paraId="17558A79">
      <w:pPr>
        <w:spacing w:line="580" w:lineRule="exact"/>
        <w:ind w:firstLine="640"/>
        <w:jc w:val="both"/>
      </w:pPr>
      <w:r>
        <w:rPr>
          <w:rFonts w:ascii="仿宋_GB2312" w:hAnsi="仿宋_GB2312" w:eastAsia="仿宋_GB2312"/>
          <w:b w:val="0"/>
          <w:sz w:val="32"/>
        </w:rPr>
        <w:t>7.卫生健康支出(类)行政事业单位医疗(款)事业单位医疗(项):支出决算数为4.90万元，比上年决算增加4.90万元，增长100.00%,主要原因是：本年在职人员工资基数调增，医疗缴费基数上涨，相应支出增加。</w:t>
      </w:r>
    </w:p>
    <w:p w14:paraId="1FFE20E3">
      <w:pPr>
        <w:spacing w:line="580" w:lineRule="exact"/>
        <w:ind w:firstLine="640"/>
        <w:jc w:val="both"/>
      </w:pPr>
      <w:r>
        <w:rPr>
          <w:rFonts w:ascii="仿宋_GB2312" w:hAnsi="仿宋_GB2312" w:eastAsia="仿宋_GB2312"/>
          <w:b w:val="0"/>
          <w:sz w:val="32"/>
        </w:rPr>
        <w:t>8.住房保障支出(类)住房改革支出(款)住房公积金(项):支出决算数为12.04万元，比上年决算增加11.61万元，增长2,700.00%,主要原因是：本年功能科目调整，住房公积金上年度</w:t>
      </w:r>
      <w:r>
        <w:rPr>
          <w:rFonts w:hint="eastAsia" w:ascii="仿宋_GB2312" w:hAnsi="仿宋_GB2312" w:eastAsia="仿宋_GB2312"/>
          <w:b w:val="0"/>
          <w:sz w:val="32"/>
          <w:lang w:val="en-US" w:eastAsia="zh-CN"/>
        </w:rPr>
        <w:t>在</w:t>
      </w:r>
      <w:r>
        <w:rPr>
          <w:rFonts w:ascii="仿宋_GB2312" w:hAnsi="仿宋_GB2312" w:eastAsia="仿宋_GB2312"/>
          <w:b w:val="0"/>
          <w:sz w:val="32"/>
        </w:rPr>
        <w:t>主科目列支，本年</w:t>
      </w:r>
      <w:r>
        <w:rPr>
          <w:rFonts w:hint="eastAsia" w:ascii="仿宋_GB2312" w:hAnsi="仿宋_GB2312" w:eastAsia="仿宋_GB2312"/>
          <w:b w:val="0"/>
          <w:sz w:val="32"/>
          <w:lang w:val="en-US" w:eastAsia="zh-CN"/>
        </w:rPr>
        <w:t>全部</w:t>
      </w:r>
      <w:r>
        <w:rPr>
          <w:rFonts w:ascii="仿宋_GB2312" w:hAnsi="仿宋_GB2312" w:eastAsia="仿宋_GB2312"/>
          <w:b w:val="0"/>
          <w:sz w:val="32"/>
        </w:rPr>
        <w:t>单独列支，导致经费较上年增加。</w:t>
      </w:r>
    </w:p>
    <w:p w14:paraId="0EDA18DA">
      <w:pPr>
        <w:spacing w:line="640" w:lineRule="exact"/>
        <w:ind w:firstLine="640"/>
        <w:jc w:val="both"/>
        <w:outlineLvl w:val="2"/>
      </w:pPr>
      <w:r>
        <w:rPr>
          <w:rFonts w:ascii="黑体" w:hAnsi="黑体" w:eastAsia="黑体"/>
          <w:sz w:val="32"/>
        </w:rPr>
        <w:t>六、一般公共预算财政拨款基本支出决算情况说明</w:t>
      </w:r>
    </w:p>
    <w:p w14:paraId="338D36B6">
      <w:pPr>
        <w:spacing w:line="580" w:lineRule="exact"/>
        <w:ind w:firstLine="640"/>
        <w:jc w:val="both"/>
      </w:pPr>
      <w:r>
        <w:rPr>
          <w:rFonts w:ascii="仿宋_GB2312" w:hAnsi="仿宋_GB2312" w:eastAsia="仿宋_GB2312"/>
          <w:b w:val="0"/>
          <w:sz w:val="32"/>
        </w:rPr>
        <w:t>2024年度一般公共预算财政拨款基本支出153.32万元，其中：</w:t>
      </w:r>
      <w:r>
        <w:rPr>
          <w:rFonts w:ascii="仿宋_GB2312" w:hAnsi="仿宋_GB2312" w:eastAsia="仿宋_GB2312"/>
          <w:b/>
          <w:sz w:val="32"/>
        </w:rPr>
        <w:t>人员经费147.63万元，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7BB73D9F">
      <w:pPr>
        <w:spacing w:line="580" w:lineRule="exact"/>
        <w:ind w:firstLine="640"/>
        <w:jc w:val="both"/>
      </w:pPr>
      <w:r>
        <w:rPr>
          <w:rFonts w:ascii="仿宋_GB2312" w:hAnsi="仿宋_GB2312" w:eastAsia="仿宋_GB2312"/>
          <w:b/>
          <w:sz w:val="32"/>
        </w:rPr>
        <w:t>公用经费5.69万元，</w:t>
      </w:r>
      <w:r>
        <w:rPr>
          <w:rFonts w:ascii="仿宋_GB2312" w:hAnsi="仿宋_GB2312" w:eastAsia="仿宋_GB2312"/>
          <w:b w:val="0"/>
          <w:sz w:val="32"/>
        </w:rPr>
        <w:t>包括：取暖费。</w:t>
      </w:r>
    </w:p>
    <w:p w14:paraId="275B3E5C">
      <w:pPr>
        <w:spacing w:line="640" w:lineRule="exact"/>
        <w:ind w:firstLine="640"/>
        <w:jc w:val="both"/>
        <w:outlineLvl w:val="2"/>
      </w:pPr>
      <w:r>
        <w:rPr>
          <w:rFonts w:ascii="黑体" w:hAnsi="黑体" w:eastAsia="黑体"/>
          <w:sz w:val="32"/>
        </w:rPr>
        <w:t>七、政府性基金预算财政拨款收入支出决算情况说明</w:t>
      </w:r>
    </w:p>
    <w:p w14:paraId="06304D22">
      <w:pPr>
        <w:spacing w:line="580" w:lineRule="exact"/>
        <w:ind w:firstLine="640"/>
        <w:jc w:val="both"/>
      </w:pPr>
      <w:r>
        <w:rPr>
          <w:rFonts w:ascii="仿宋_GB2312" w:hAnsi="仿宋_GB2312" w:eastAsia="仿宋_GB2312"/>
          <w:b/>
          <w:sz w:val="32"/>
        </w:rPr>
        <w:t>2024年度政府性基金预算财政拨款收入总计0.10万元，</w:t>
      </w:r>
      <w:r>
        <w:rPr>
          <w:rFonts w:ascii="仿宋_GB2312" w:hAnsi="仿宋_GB2312" w:eastAsia="仿宋_GB2312"/>
          <w:b w:val="0"/>
          <w:sz w:val="32"/>
        </w:rPr>
        <w:t>其中：年初结转和结余0.00万元，本年收入0.10万元。</w:t>
      </w:r>
      <w:r>
        <w:rPr>
          <w:rFonts w:ascii="仿宋_GB2312" w:hAnsi="仿宋_GB2312" w:eastAsia="仿宋_GB2312"/>
          <w:b/>
          <w:sz w:val="32"/>
        </w:rPr>
        <w:t>政府性基金预算财政拨款支出总计0.10万元，</w:t>
      </w:r>
      <w:r>
        <w:rPr>
          <w:rFonts w:ascii="仿宋_GB2312" w:hAnsi="仿宋_GB2312" w:eastAsia="仿宋_GB2312"/>
          <w:b w:val="0"/>
          <w:sz w:val="32"/>
        </w:rPr>
        <w:t>其中：年末结转和结余0.00万元，本年支出0.10万元。</w:t>
      </w:r>
    </w:p>
    <w:p w14:paraId="03D2CCE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增加0.10万元，增长100.00%，主要原因是：本年增加80周岁老年人生活补助和免费体检自治区补助资金、2024年中央专项彩票公益金。</w:t>
      </w:r>
      <w:r>
        <w:rPr>
          <w:rFonts w:ascii="仿宋_GB2312" w:hAnsi="仿宋_GB2312" w:eastAsia="仿宋_GB2312"/>
          <w:b/>
          <w:sz w:val="32"/>
        </w:rPr>
        <w:t>与年初预算相比，</w:t>
      </w:r>
      <w:r>
        <w:rPr>
          <w:rFonts w:ascii="仿宋_GB2312" w:hAnsi="仿宋_GB2312" w:eastAsia="仿宋_GB2312"/>
          <w:b w:val="0"/>
          <w:sz w:val="32"/>
        </w:rPr>
        <w:t>年初预算数0.00万元，决算数0.10万元，预决算差异率100.00%，主要原因是：年中追加80周岁老年人生活补助和免费体检自治区补助资金、2024年中央专项彩票公益金，导致预决算存在差异。</w:t>
      </w:r>
    </w:p>
    <w:p w14:paraId="53F5A325">
      <w:pPr>
        <w:spacing w:line="580" w:lineRule="exact"/>
        <w:ind w:firstLine="640"/>
        <w:jc w:val="both"/>
      </w:pPr>
      <w:r>
        <w:rPr>
          <w:rFonts w:ascii="仿宋_GB2312" w:hAnsi="仿宋_GB2312" w:eastAsia="仿宋_GB2312"/>
          <w:b w:val="0"/>
          <w:sz w:val="32"/>
        </w:rPr>
        <w:t>政府性基金预算财政拨款支出0.10万元。</w:t>
      </w:r>
    </w:p>
    <w:p w14:paraId="0ECF5BF0">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1.其他支出(类)彩票公益金安排的支出(款)用于社会福利的彩票公益金支出(项):支出决算数为0.06万元，比上年决算增加0.06万元，增长100.00%,主要原因是：本年增加80周岁老年人生活补助和免费体检自治区补助资金。</w:t>
      </w:r>
    </w:p>
    <w:p w14:paraId="743BD0C5">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2.其他支出(类)彩票公益金安排的支出(款)用于城乡医疗救助的彩票公益金支出(项):支出决算数为0.04万元，比上年决算增加0.04万元，增长100.00%,主要原因是：本年增加中央专项彩票公益金。</w:t>
      </w:r>
    </w:p>
    <w:p w14:paraId="2EA99F6A">
      <w:pPr>
        <w:spacing w:line="640" w:lineRule="exact"/>
        <w:ind w:firstLine="640"/>
        <w:jc w:val="both"/>
        <w:outlineLvl w:val="2"/>
      </w:pPr>
      <w:r>
        <w:rPr>
          <w:rFonts w:ascii="黑体" w:hAnsi="黑体" w:eastAsia="黑体"/>
          <w:sz w:val="32"/>
        </w:rPr>
        <w:t>八、国有资本经营预算财政拨款收入支出决算情况说明</w:t>
      </w:r>
    </w:p>
    <w:p w14:paraId="370628E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D51A814">
      <w:pPr>
        <w:spacing w:line="640" w:lineRule="exact"/>
        <w:ind w:firstLine="640"/>
        <w:jc w:val="both"/>
        <w:outlineLvl w:val="2"/>
      </w:pPr>
      <w:r>
        <w:rPr>
          <w:rFonts w:ascii="黑体" w:hAnsi="黑体" w:eastAsia="黑体"/>
          <w:sz w:val="32"/>
        </w:rPr>
        <w:t>九、财政拨款“三公”经费支出决算情况说明</w:t>
      </w:r>
    </w:p>
    <w:p w14:paraId="3A838F0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87E8BC2">
      <w:pPr>
        <w:spacing w:line="580" w:lineRule="exact"/>
        <w:ind w:firstLine="640"/>
        <w:jc w:val="both"/>
      </w:pPr>
      <w:r>
        <w:rPr>
          <w:rFonts w:ascii="仿宋_GB2312" w:hAnsi="仿宋_GB2312" w:eastAsia="仿宋_GB2312"/>
          <w:b/>
          <w:sz w:val="32"/>
        </w:rPr>
        <w:t>具体情况如下：</w:t>
      </w:r>
    </w:p>
    <w:p w14:paraId="7B610C0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8B38C4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217A48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E628B5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AB295A8">
      <w:pPr>
        <w:spacing w:line="640" w:lineRule="exact"/>
        <w:ind w:firstLine="640"/>
        <w:jc w:val="both"/>
        <w:outlineLvl w:val="2"/>
      </w:pPr>
      <w:r>
        <w:rPr>
          <w:rFonts w:ascii="黑体" w:hAnsi="黑体" w:eastAsia="黑体"/>
          <w:sz w:val="32"/>
        </w:rPr>
        <w:t>十、其他重要事项的情况说明</w:t>
      </w:r>
    </w:p>
    <w:p w14:paraId="5BD1F6CD">
      <w:pPr>
        <w:spacing w:line="640" w:lineRule="exact"/>
        <w:ind w:firstLine="640"/>
        <w:jc w:val="both"/>
        <w:outlineLvl w:val="3"/>
      </w:pPr>
      <w:r>
        <w:rPr>
          <w:rFonts w:ascii="楷体_GB2312" w:hAnsi="楷体_GB2312" w:eastAsia="楷体_GB2312"/>
          <w:b/>
          <w:sz w:val="32"/>
        </w:rPr>
        <w:t>（一）机关运行经费及公用经费支出情况</w:t>
      </w:r>
    </w:p>
    <w:p w14:paraId="3C7CA6E4">
      <w:pPr>
        <w:spacing w:line="580" w:lineRule="exact"/>
        <w:ind w:firstLine="640"/>
        <w:jc w:val="both"/>
      </w:pPr>
      <w:r>
        <w:rPr>
          <w:rFonts w:ascii="仿宋_GB2312" w:hAnsi="仿宋_GB2312" w:eastAsia="仿宋_GB2312"/>
          <w:b w:val="0"/>
          <w:sz w:val="32"/>
        </w:rPr>
        <w:t>2024年度阿图什市新城街道办事处社区卫生服务中心（事业单位）公用经费支出5.69万元，比上年增加5.69万元，增长100.00%，主要原因是：本年增加取暖费支出，导致公用经费增加。</w:t>
      </w:r>
    </w:p>
    <w:p w14:paraId="510AD0AD">
      <w:pPr>
        <w:spacing w:line="640" w:lineRule="exact"/>
        <w:ind w:firstLine="640"/>
        <w:jc w:val="both"/>
        <w:outlineLvl w:val="3"/>
      </w:pPr>
      <w:r>
        <w:rPr>
          <w:rFonts w:ascii="楷体_GB2312" w:hAnsi="楷体_GB2312" w:eastAsia="楷体_GB2312"/>
          <w:b/>
          <w:sz w:val="32"/>
        </w:rPr>
        <w:t>（二）政府采购情况</w:t>
      </w:r>
    </w:p>
    <w:p w14:paraId="35833ED4">
      <w:pPr>
        <w:spacing w:line="580" w:lineRule="exact"/>
        <w:ind w:firstLine="640"/>
        <w:jc w:val="both"/>
      </w:pPr>
      <w:r>
        <w:rPr>
          <w:rFonts w:ascii="仿宋_GB2312" w:hAnsi="仿宋_GB2312" w:eastAsia="仿宋_GB2312"/>
          <w:b w:val="0"/>
          <w:sz w:val="32"/>
        </w:rPr>
        <w:t>2024年度政府采购支出总额31.07万元，其中：政府采购货物支出15.29万元、政府采购工程支出0.00万元、政府采购服务支出15.78万元。</w:t>
      </w:r>
    </w:p>
    <w:p w14:paraId="5576117E">
      <w:pPr>
        <w:spacing w:line="580" w:lineRule="exact"/>
        <w:ind w:firstLine="640"/>
        <w:jc w:val="both"/>
      </w:pPr>
      <w:r>
        <w:rPr>
          <w:rFonts w:ascii="仿宋_GB2312" w:hAnsi="仿宋_GB2312" w:eastAsia="仿宋_GB2312"/>
          <w:b w:val="0"/>
          <w:sz w:val="32"/>
        </w:rPr>
        <w:t>授予中小企业合同金额28.97万元，占政府采购支出总额的93.24%，其中：授予小微企业合同金额20.95万元，占政府采购支出总额的67.43%。</w:t>
      </w:r>
    </w:p>
    <w:p w14:paraId="3B005643">
      <w:pPr>
        <w:spacing w:line="640" w:lineRule="exact"/>
        <w:ind w:firstLine="640"/>
        <w:jc w:val="both"/>
        <w:outlineLvl w:val="3"/>
      </w:pPr>
      <w:r>
        <w:rPr>
          <w:rFonts w:ascii="楷体_GB2312" w:hAnsi="楷体_GB2312" w:eastAsia="楷体_GB2312"/>
          <w:b/>
          <w:sz w:val="32"/>
        </w:rPr>
        <w:t>（三）国有资产占用情况说明</w:t>
      </w:r>
    </w:p>
    <w:p w14:paraId="7FBC8A3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A68633B">
      <w:pPr>
        <w:spacing w:line="640" w:lineRule="exact"/>
        <w:ind w:firstLine="640"/>
        <w:jc w:val="both"/>
        <w:outlineLvl w:val="2"/>
      </w:pPr>
      <w:r>
        <w:rPr>
          <w:rFonts w:ascii="黑体" w:hAnsi="黑体" w:eastAsia="黑体"/>
          <w:sz w:val="32"/>
        </w:rPr>
        <w:t>十一、预算绩效的情况说明</w:t>
      </w:r>
    </w:p>
    <w:p w14:paraId="2214F6E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254.18万元，实际执行总额246.97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bookmarkStart w:id="0" w:name="_GoBack"/>
      <w:bookmarkEnd w:id="0"/>
    </w:p>
    <w:p w14:paraId="5F529F4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B22FCBD">
        <w:tblPrEx>
          <w:tblCellMar>
            <w:top w:w="0" w:type="dxa"/>
            <w:left w:w="108" w:type="dxa"/>
            <w:bottom w:w="0" w:type="dxa"/>
            <w:right w:w="108" w:type="dxa"/>
          </w:tblCellMar>
        </w:tblPrEx>
        <w:tc>
          <w:tcPr>
            <w:tcW w:w="8840" w:type="dxa"/>
            <w:gridSpan w:val="8"/>
            <w:vAlign w:val="center"/>
          </w:tcPr>
          <w:p w14:paraId="6CF22D34">
            <w:pPr>
              <w:jc w:val="center"/>
            </w:pPr>
            <w:r>
              <w:rPr>
                <w:rFonts w:ascii="宋体" w:hAnsi="宋体" w:eastAsia="宋体"/>
                <w:sz w:val="24"/>
              </w:rPr>
              <w:t>单位整体支出绩效自评表</w:t>
            </w:r>
          </w:p>
        </w:tc>
      </w:tr>
      <w:tr w14:paraId="4A425FAF">
        <w:tblPrEx>
          <w:tblCellMar>
            <w:top w:w="0" w:type="dxa"/>
            <w:left w:w="108" w:type="dxa"/>
            <w:bottom w:w="0" w:type="dxa"/>
            <w:right w:w="108" w:type="dxa"/>
          </w:tblCellMar>
        </w:tblPrEx>
        <w:tc>
          <w:tcPr>
            <w:tcW w:w="8840" w:type="dxa"/>
            <w:gridSpan w:val="8"/>
            <w:vAlign w:val="center"/>
          </w:tcPr>
          <w:p w14:paraId="424150F5">
            <w:pPr>
              <w:jc w:val="center"/>
            </w:pPr>
            <w:r>
              <w:rPr>
                <w:rFonts w:ascii="宋体" w:hAnsi="宋体" w:eastAsia="宋体"/>
                <w:sz w:val="24"/>
              </w:rPr>
              <w:t>（2024年度）</w:t>
            </w:r>
          </w:p>
        </w:tc>
      </w:tr>
      <w:tr w14:paraId="3333368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6412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03EAC0">
            <w:pPr>
              <w:jc w:val="center"/>
            </w:pPr>
            <w:r>
              <w:rPr>
                <w:rFonts w:ascii="宋体" w:hAnsi="宋体" w:eastAsia="宋体"/>
                <w:sz w:val="16"/>
              </w:rPr>
              <w:t>阿图什市新城街道办事处社区卫生服务中心</w:t>
            </w:r>
          </w:p>
        </w:tc>
      </w:tr>
      <w:tr w14:paraId="502F8D9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6BA5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AC39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0049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6A53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55A7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211D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8E20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D0175">
            <w:pPr>
              <w:jc w:val="center"/>
            </w:pPr>
            <w:r>
              <w:rPr>
                <w:rFonts w:ascii="宋体" w:hAnsi="宋体" w:eastAsia="宋体"/>
                <w:sz w:val="16"/>
              </w:rPr>
              <w:t>得分</w:t>
            </w:r>
          </w:p>
        </w:tc>
      </w:tr>
      <w:tr w14:paraId="2A3A96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DE8F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B3DC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C6169">
            <w:pPr>
              <w:jc w:val="center"/>
            </w:pPr>
            <w:r>
              <w:rPr>
                <w:rFonts w:ascii="宋体" w:hAnsi="宋体" w:eastAsia="宋体"/>
                <w:sz w:val="16"/>
              </w:rPr>
              <w:t>206.02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77423">
            <w:pPr>
              <w:jc w:val="center"/>
            </w:pPr>
            <w:r>
              <w:rPr>
                <w:rFonts w:ascii="宋体" w:hAnsi="宋体" w:eastAsia="宋体"/>
                <w:sz w:val="16"/>
              </w:rPr>
              <w:t>254.18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38142">
            <w:pPr>
              <w:jc w:val="center"/>
            </w:pPr>
            <w:r>
              <w:rPr>
                <w:rFonts w:ascii="宋体" w:hAnsi="宋体" w:eastAsia="宋体"/>
                <w:sz w:val="16"/>
              </w:rPr>
              <w:t>246.97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656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9B26C">
            <w:pPr>
              <w:jc w:val="center"/>
            </w:pPr>
            <w:r>
              <w:rPr>
                <w:rFonts w:ascii="宋体" w:hAnsi="宋体" w:eastAsia="宋体"/>
                <w:sz w:val="16"/>
              </w:rPr>
              <w:t>97.16%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4BAE7">
            <w:pPr>
              <w:jc w:val="center"/>
            </w:pPr>
            <w:r>
              <w:rPr>
                <w:rFonts w:hint="eastAsia" w:ascii="宋体" w:hAnsi="宋体" w:eastAsia="宋体"/>
                <w:sz w:val="16"/>
              </w:rPr>
              <w:t>9.72</w:t>
            </w:r>
          </w:p>
        </w:tc>
      </w:tr>
      <w:tr w14:paraId="0CEE83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4B79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0A98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1F778">
            <w:pPr>
              <w:jc w:val="center"/>
            </w:pPr>
            <w:r>
              <w:rPr>
                <w:rFonts w:ascii="宋体" w:hAnsi="宋体" w:eastAsia="宋体"/>
                <w:sz w:val="16"/>
              </w:rPr>
              <w:t>37.28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58D8F">
            <w:pPr>
              <w:jc w:val="center"/>
            </w:pPr>
            <w:r>
              <w:rPr>
                <w:rFonts w:ascii="宋体" w:hAnsi="宋体" w:eastAsia="宋体"/>
                <w:sz w:val="16"/>
              </w:rPr>
              <w:t>49.29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6E224">
            <w:pPr>
              <w:jc w:val="center"/>
            </w:pPr>
            <w:r>
              <w:rPr>
                <w:rFonts w:ascii="宋体" w:hAnsi="宋体" w:eastAsia="宋体"/>
                <w:sz w:val="16"/>
              </w:rPr>
              <w:t>49.29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250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2C9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83608">
            <w:pPr>
              <w:jc w:val="center"/>
            </w:pPr>
            <w:r>
              <w:rPr>
                <w:rFonts w:ascii="宋体" w:hAnsi="宋体" w:eastAsia="宋体"/>
                <w:sz w:val="16"/>
              </w:rPr>
              <w:t>—</w:t>
            </w:r>
          </w:p>
        </w:tc>
      </w:tr>
      <w:tr w14:paraId="60C526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139A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1947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C935F">
            <w:pPr>
              <w:jc w:val="center"/>
            </w:pPr>
            <w:r>
              <w:rPr>
                <w:rFonts w:ascii="宋体" w:hAnsi="宋体" w:eastAsia="宋体"/>
                <w:sz w:val="16"/>
              </w:rPr>
              <w:t>168.74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CB7D9">
            <w:pPr>
              <w:jc w:val="center"/>
            </w:pPr>
            <w:r>
              <w:rPr>
                <w:rFonts w:ascii="宋体" w:hAnsi="宋体" w:eastAsia="宋体"/>
                <w:sz w:val="16"/>
              </w:rPr>
              <w:t>204.89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D75C7">
            <w:pPr>
              <w:jc w:val="center"/>
            </w:pPr>
            <w:r>
              <w:rPr>
                <w:rFonts w:ascii="宋体" w:hAnsi="宋体" w:eastAsia="宋体"/>
                <w:sz w:val="16"/>
              </w:rPr>
              <w:t>197.68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009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7A7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DA2C1">
            <w:pPr>
              <w:jc w:val="center"/>
            </w:pPr>
            <w:r>
              <w:rPr>
                <w:rFonts w:ascii="宋体" w:hAnsi="宋体" w:eastAsia="宋体"/>
                <w:sz w:val="16"/>
              </w:rPr>
              <w:t>—</w:t>
            </w:r>
          </w:p>
        </w:tc>
      </w:tr>
      <w:tr w14:paraId="277CB5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B77C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B617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AA5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C24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24EE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7E3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367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1A714">
            <w:pPr>
              <w:jc w:val="center"/>
            </w:pPr>
            <w:r>
              <w:rPr>
                <w:rFonts w:ascii="宋体" w:hAnsi="宋体" w:eastAsia="宋体"/>
                <w:sz w:val="16"/>
              </w:rPr>
              <w:t>—</w:t>
            </w:r>
          </w:p>
        </w:tc>
      </w:tr>
      <w:tr w14:paraId="5D7D8F1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C712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0C48A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29695C">
            <w:pPr>
              <w:jc w:val="center"/>
            </w:pPr>
            <w:r>
              <w:rPr>
                <w:rFonts w:ascii="宋体" w:hAnsi="宋体" w:eastAsia="宋体"/>
                <w:sz w:val="16"/>
              </w:rPr>
              <w:t>实际完成情况</w:t>
            </w:r>
          </w:p>
        </w:tc>
      </w:tr>
      <w:tr w14:paraId="109394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51EBA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4D2CDF">
            <w:pPr>
              <w:jc w:val="both"/>
            </w:pPr>
            <w:r>
              <w:rPr>
                <w:rFonts w:ascii="宋体" w:hAnsi="宋体" w:eastAsia="宋体"/>
                <w:sz w:val="16"/>
              </w:rPr>
              <w:t xml:space="preserve">单位基本职能：1.为全民人员康复服务日常工作；2.为城乡居民，职工人员等医疗工作；3.为全民人员基本公共卫生14项服务工作； </w:t>
            </w:r>
            <w:r>
              <w:rPr>
                <w:rFonts w:ascii="宋体" w:hAnsi="宋体" w:eastAsia="宋体"/>
                <w:sz w:val="16"/>
              </w:rPr>
              <w:br w:type="textWrapping"/>
            </w:r>
            <w:r>
              <w:rPr>
                <w:rFonts w:ascii="宋体" w:hAnsi="宋体" w:eastAsia="宋体"/>
                <w:sz w:val="16"/>
              </w:rPr>
              <w:t xml:space="preserve">机构设置及人员配置：无下属预算单位，下设1个科室，编制数10，实有人数10人，在职10人。 </w:t>
            </w:r>
            <w:r>
              <w:rPr>
                <w:rFonts w:ascii="宋体" w:hAnsi="宋体" w:eastAsia="宋体"/>
                <w:sz w:val="16"/>
              </w:rPr>
              <w:br w:type="textWrapping"/>
            </w:r>
            <w:r>
              <w:rPr>
                <w:rFonts w:ascii="宋体" w:hAnsi="宋体" w:eastAsia="宋体"/>
                <w:sz w:val="16"/>
              </w:rPr>
              <w:t>中长期规划：深入贯彻落实党的二十大精神，坚持“科技兴院”的发展战略，坚持以人民为中心的服务理念，全面提高医疗质量，确保医疗安全，以提高社会效益、经济效益为目的，全面实施综合目标责任制管理，着力提高科学管理水平，强化职工队伍思想和业务素质，打造团结拼搏、开拓进取的团队精神，求真务实，努力奋斗，加大改革力度，实现思路创新、经营创新、管理创新，开创医院工作的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16C096">
            <w:pPr>
              <w:jc w:val="both"/>
            </w:pPr>
            <w:r>
              <w:rPr>
                <w:rFonts w:ascii="宋体" w:hAnsi="宋体" w:eastAsia="宋体"/>
                <w:sz w:val="16"/>
              </w:rPr>
              <w:t xml:space="preserve">本单位共计支出246.97万元，用于保障部门在职10人的工资福利、各项补助正常发放及部门单位正常运转，单位预算项目根据年初计划均已完成，强化职工队伍思想和业务素质，打造团结拼搏、开拓进取的团队精神，求真务实，努力奋斗，加大改革力度，实现思路创新、经营创新、管理创新，开创医院工作的新局面，年度任务中完成孕期保健服务和2次产后访视5次，中医药知识开展健康教育4次等目标。 </w:t>
            </w:r>
          </w:p>
        </w:tc>
      </w:tr>
      <w:tr w14:paraId="5EDC2E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DAB2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3BF3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1CB5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55CD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750F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6909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B464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13FA3">
            <w:pPr>
              <w:jc w:val="center"/>
            </w:pPr>
            <w:r>
              <w:rPr>
                <w:rFonts w:ascii="宋体" w:hAnsi="宋体" w:eastAsia="宋体"/>
                <w:sz w:val="16"/>
              </w:rPr>
              <w:t>得分</w:t>
            </w:r>
          </w:p>
        </w:tc>
      </w:tr>
      <w:tr w14:paraId="1AF1CCF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AC20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CB92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BD7B6">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EAA9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F531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4EB2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C488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88AC7">
            <w:pPr>
              <w:jc w:val="center"/>
            </w:pPr>
            <w:r>
              <w:rPr>
                <w:rFonts w:ascii="宋体" w:hAnsi="宋体" w:eastAsia="宋体"/>
                <w:sz w:val="16"/>
              </w:rPr>
              <w:t>18</w:t>
            </w:r>
          </w:p>
        </w:tc>
      </w:tr>
      <w:tr w14:paraId="047C44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8F5F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7821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7087D">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DC11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4DBB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047D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2782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43F9F">
            <w:pPr>
              <w:jc w:val="center"/>
            </w:pPr>
            <w:r>
              <w:rPr>
                <w:rFonts w:ascii="宋体" w:hAnsi="宋体" w:eastAsia="宋体"/>
                <w:sz w:val="16"/>
              </w:rPr>
              <w:t>18</w:t>
            </w:r>
          </w:p>
        </w:tc>
      </w:tr>
      <w:tr w14:paraId="3461D8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7780B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F16C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55DB5">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7D764">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3849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5A06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65248">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B6A24">
            <w:pPr>
              <w:jc w:val="center"/>
            </w:pPr>
            <w:r>
              <w:rPr>
                <w:rFonts w:ascii="宋体" w:hAnsi="宋体" w:eastAsia="宋体"/>
                <w:sz w:val="16"/>
              </w:rPr>
              <w:t>18</w:t>
            </w:r>
          </w:p>
        </w:tc>
      </w:tr>
      <w:tr w14:paraId="042FA7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EDB5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3E42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A7CB7">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FE2A1">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4BF9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B408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E6724">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A0849">
            <w:pPr>
              <w:jc w:val="center"/>
            </w:pPr>
            <w:r>
              <w:rPr>
                <w:rFonts w:ascii="宋体" w:hAnsi="宋体" w:eastAsia="宋体"/>
                <w:sz w:val="16"/>
              </w:rPr>
              <w:t>18</w:t>
            </w:r>
          </w:p>
        </w:tc>
      </w:tr>
      <w:tr w14:paraId="4BB942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3D5C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FA50F">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65F40">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CB16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BE42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773C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F62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18475">
            <w:pPr>
              <w:jc w:val="center"/>
            </w:pPr>
            <w:r>
              <w:rPr>
                <w:rFonts w:ascii="宋体" w:hAnsi="宋体" w:eastAsia="宋体"/>
                <w:sz w:val="16"/>
              </w:rPr>
              <w:t>18</w:t>
            </w:r>
          </w:p>
        </w:tc>
      </w:tr>
    </w:tbl>
    <w:p w14:paraId="3BBE2A9A">
      <w:r>
        <w:br w:type="page"/>
      </w:r>
    </w:p>
    <w:p w14:paraId="3BA77EF9">
      <w:pPr>
        <w:spacing w:line="640" w:lineRule="exact"/>
        <w:ind w:firstLine="640"/>
        <w:jc w:val="both"/>
        <w:outlineLvl w:val="2"/>
      </w:pPr>
      <w:r>
        <w:rPr>
          <w:rFonts w:ascii="黑体" w:hAnsi="黑体" w:eastAsia="黑体"/>
          <w:sz w:val="32"/>
        </w:rPr>
        <w:t>十二、其他需说明的事项</w:t>
      </w:r>
    </w:p>
    <w:p w14:paraId="3CBE7B2E">
      <w:pPr>
        <w:spacing w:line="580" w:lineRule="exact"/>
        <w:ind w:firstLine="640"/>
        <w:jc w:val="both"/>
      </w:pPr>
      <w:r>
        <w:rPr>
          <w:rFonts w:ascii="仿宋_GB2312" w:hAnsi="仿宋_GB2312" w:eastAsia="仿宋_GB2312"/>
          <w:b w:val="0"/>
          <w:sz w:val="32"/>
        </w:rPr>
        <w:t>本单位无其他需说明的事项。</w:t>
      </w:r>
    </w:p>
    <w:p w14:paraId="60DEEC86">
      <w:r>
        <w:br w:type="page"/>
      </w:r>
    </w:p>
    <w:p w14:paraId="3DAFEFEE">
      <w:pPr>
        <w:spacing w:line="240" w:lineRule="auto"/>
        <w:jc w:val="center"/>
        <w:outlineLvl w:val="1"/>
      </w:pPr>
      <w:r>
        <w:rPr>
          <w:rFonts w:ascii="黑体" w:hAnsi="黑体" w:eastAsia="黑体"/>
          <w:sz w:val="32"/>
        </w:rPr>
        <w:t>第三部分 专业名词解释</w:t>
      </w:r>
    </w:p>
    <w:p w14:paraId="7CC55B6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3D14C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580B4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708E9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42BF9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B74D0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F0DB5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E0957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9EA0D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72EB2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5F0261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E0B8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FD795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25263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F0FEAD2">
      <w:r>
        <w:br w:type="page"/>
      </w:r>
    </w:p>
    <w:p w14:paraId="25C99E6F">
      <w:pPr>
        <w:spacing w:line="240" w:lineRule="auto"/>
        <w:jc w:val="center"/>
        <w:outlineLvl w:val="1"/>
      </w:pPr>
      <w:r>
        <w:rPr>
          <w:rFonts w:ascii="黑体" w:hAnsi="黑体" w:eastAsia="黑体"/>
          <w:sz w:val="32"/>
        </w:rPr>
        <w:t>第四部分 部门决算报表（见附表）</w:t>
      </w:r>
    </w:p>
    <w:p w14:paraId="2A044547">
      <w:pPr>
        <w:spacing w:line="240" w:lineRule="auto"/>
        <w:ind w:firstLine="640"/>
        <w:jc w:val="both"/>
      </w:pPr>
      <w:r>
        <w:rPr>
          <w:rFonts w:ascii="仿宋_GB2312" w:hAnsi="仿宋_GB2312" w:eastAsia="仿宋_GB2312"/>
          <w:b w:val="0"/>
          <w:sz w:val="32"/>
        </w:rPr>
        <w:t>一、《收入支出决算总表》</w:t>
      </w:r>
    </w:p>
    <w:p w14:paraId="3584A003">
      <w:pPr>
        <w:spacing w:line="240" w:lineRule="auto"/>
        <w:ind w:firstLine="640"/>
        <w:jc w:val="both"/>
      </w:pPr>
      <w:r>
        <w:rPr>
          <w:rFonts w:ascii="仿宋_GB2312" w:hAnsi="仿宋_GB2312" w:eastAsia="仿宋_GB2312"/>
          <w:b w:val="0"/>
          <w:sz w:val="32"/>
        </w:rPr>
        <w:t>二、《收入决算表》</w:t>
      </w:r>
    </w:p>
    <w:p w14:paraId="40C001BB">
      <w:pPr>
        <w:spacing w:line="240" w:lineRule="auto"/>
        <w:ind w:firstLine="640"/>
        <w:jc w:val="both"/>
      </w:pPr>
      <w:r>
        <w:rPr>
          <w:rFonts w:ascii="仿宋_GB2312" w:hAnsi="仿宋_GB2312" w:eastAsia="仿宋_GB2312"/>
          <w:b w:val="0"/>
          <w:sz w:val="32"/>
        </w:rPr>
        <w:t>三、《支出决算表》</w:t>
      </w:r>
    </w:p>
    <w:p w14:paraId="5C6FA3AE">
      <w:pPr>
        <w:spacing w:line="240" w:lineRule="auto"/>
        <w:ind w:firstLine="640"/>
        <w:jc w:val="both"/>
      </w:pPr>
      <w:r>
        <w:rPr>
          <w:rFonts w:ascii="仿宋_GB2312" w:hAnsi="仿宋_GB2312" w:eastAsia="仿宋_GB2312"/>
          <w:b w:val="0"/>
          <w:sz w:val="32"/>
        </w:rPr>
        <w:t>四、《财政拨款收入支出决算总表》</w:t>
      </w:r>
    </w:p>
    <w:p w14:paraId="5B5B5577">
      <w:pPr>
        <w:spacing w:line="240" w:lineRule="auto"/>
        <w:ind w:firstLine="640"/>
        <w:jc w:val="both"/>
      </w:pPr>
      <w:r>
        <w:rPr>
          <w:rFonts w:ascii="仿宋_GB2312" w:hAnsi="仿宋_GB2312" w:eastAsia="仿宋_GB2312"/>
          <w:b w:val="0"/>
          <w:sz w:val="32"/>
        </w:rPr>
        <w:t>五、《一般公共预算财政拨款支出决算表》</w:t>
      </w:r>
    </w:p>
    <w:p w14:paraId="678174A0">
      <w:pPr>
        <w:spacing w:line="240" w:lineRule="auto"/>
        <w:ind w:firstLine="640"/>
        <w:jc w:val="both"/>
      </w:pPr>
      <w:r>
        <w:rPr>
          <w:rFonts w:ascii="仿宋_GB2312" w:hAnsi="仿宋_GB2312" w:eastAsia="仿宋_GB2312"/>
          <w:b w:val="0"/>
          <w:sz w:val="32"/>
        </w:rPr>
        <w:t>六、《一般公共预算财政拨款基本支出决算表》</w:t>
      </w:r>
    </w:p>
    <w:p w14:paraId="5B5F9BB3">
      <w:pPr>
        <w:spacing w:line="240" w:lineRule="auto"/>
        <w:ind w:firstLine="640"/>
        <w:jc w:val="both"/>
      </w:pPr>
      <w:r>
        <w:rPr>
          <w:rFonts w:ascii="仿宋_GB2312" w:hAnsi="仿宋_GB2312" w:eastAsia="仿宋_GB2312"/>
          <w:b w:val="0"/>
          <w:sz w:val="32"/>
        </w:rPr>
        <w:t>七、《政府性基金预算财政拨款收入支出决算表》</w:t>
      </w:r>
    </w:p>
    <w:p w14:paraId="312C5703">
      <w:pPr>
        <w:spacing w:line="240" w:lineRule="auto"/>
        <w:ind w:firstLine="640"/>
        <w:jc w:val="both"/>
      </w:pPr>
      <w:r>
        <w:rPr>
          <w:rFonts w:ascii="仿宋_GB2312" w:hAnsi="仿宋_GB2312" w:eastAsia="仿宋_GB2312"/>
          <w:b w:val="0"/>
          <w:sz w:val="32"/>
        </w:rPr>
        <w:t>八、《国有资本经营预算财政拨款收入支出决算表》</w:t>
      </w:r>
    </w:p>
    <w:p w14:paraId="6B5066C6">
      <w:pPr>
        <w:spacing w:line="240" w:lineRule="auto"/>
        <w:ind w:firstLine="640"/>
        <w:jc w:val="both"/>
      </w:pPr>
      <w:r>
        <w:rPr>
          <w:rFonts w:ascii="仿宋_GB2312" w:hAnsi="仿宋_GB2312" w:eastAsia="仿宋_GB2312"/>
          <w:b w:val="0"/>
          <w:sz w:val="32"/>
        </w:rPr>
        <w:t>九、《财政拨款“三公”经费支出决算表》</w:t>
      </w:r>
    </w:p>
    <w:p w14:paraId="6A7BE88E">
      <w:pPr>
        <w:spacing w:line="240" w:lineRule="auto"/>
        <w:ind w:firstLine="640"/>
        <w:jc w:val="both"/>
      </w:pPr>
    </w:p>
    <w:p w14:paraId="481512A3">
      <w:pPr>
        <w:spacing w:line="240" w:lineRule="auto"/>
        <w:ind w:firstLine="640"/>
        <w:jc w:val="both"/>
      </w:pPr>
    </w:p>
    <w:p w14:paraId="0C721F02">
      <w:pPr>
        <w:spacing w:line="240" w:lineRule="auto"/>
        <w:ind w:firstLine="640"/>
        <w:jc w:val="both"/>
      </w:pPr>
    </w:p>
    <w:p w14:paraId="48E51F2B">
      <w:pPr>
        <w:spacing w:line="240" w:lineRule="auto"/>
        <w:ind w:firstLine="640"/>
        <w:jc w:val="both"/>
      </w:pPr>
    </w:p>
    <w:p w14:paraId="65E5763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FD84DC-2A0B-47BD-9ED1-6C02FCBB96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D29249B-B908-4A75-94A6-068A1861C40E}"/>
  </w:font>
  <w:font w:name="仿宋_GB2312">
    <w:panose1 w:val="02010609030101010101"/>
    <w:charset w:val="86"/>
    <w:family w:val="modern"/>
    <w:pitch w:val="default"/>
    <w:sig w:usb0="00000001" w:usb1="080E0000" w:usb2="00000000" w:usb3="00000000" w:csb0="00040000" w:csb1="00000000"/>
    <w:embedRegular r:id="rId3" w:fontKey="{1D024015-1559-42D3-8E83-2C93A2F93C34}"/>
  </w:font>
  <w:font w:name="楷体_GB2312">
    <w:panose1 w:val="02010609030101010101"/>
    <w:charset w:val="86"/>
    <w:family w:val="auto"/>
    <w:pitch w:val="default"/>
    <w:sig w:usb0="00000001" w:usb1="080E0000" w:usb2="00000000" w:usb3="00000000" w:csb0="00040000" w:csb1="00000000"/>
    <w:embedRegular r:id="rId4" w:fontKey="{F9BE05CB-C301-4A74-BCCC-3CC92FB026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784D4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616AE"/>
    <w:rsid w:val="543D17CB"/>
    <w:rsid w:val="55DA564E"/>
    <w:rsid w:val="56E07045"/>
    <w:rsid w:val="583059FA"/>
    <w:rsid w:val="587E6212"/>
    <w:rsid w:val="59DA35A3"/>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6225</Words>
  <Characters>7089</Characters>
  <Lines>0</Lines>
  <Paragraphs>0</Paragraphs>
  <TotalTime>9</TotalTime>
  <ScaleCrop>false</ScaleCrop>
  <LinksUpToDate>false</LinksUpToDate>
  <CharactersWithSpaces>7102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2025-11-21T03:51:11Z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