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2024年中央补助地方公共文化服务体系</w:t>
      </w: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建设补助资金项目（演出经费）</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项目名称：2024年中央补助地方公共文化服务体系建设</w:t>
      </w:r>
    </w:p>
    <w:p>
      <w:pPr>
        <w:spacing w:line="560" w:lineRule="exact"/>
        <w:ind w:firstLine="1600" w:firstLineChars="50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补助资金项目（演出经费）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default"/>
          <w:color w:val="auto"/>
          <w:kern w:val="0"/>
          <w:sz w:val="32"/>
          <w:szCs w:val="32"/>
          <w:highlight w:val="none"/>
          <w:lang w:val="en-US"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val="en-US" w:eastAsia="zh-CN"/>
        </w:rPr>
        <w:t xml:space="preserve">阿图什市歌舞团</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主管部门：阿图什市歌舞团</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2024年中央补助地方公共文化服务体系</w:t>
      </w: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建设补助资金项目（演出经费）</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地域文化既是中华优秀传统文化的符号，又是中国革命文化的象征，更是社会主义先进文化的基因，对于培育以中华优秀传统文化为根、以革命文化为基、以社会主义先进文化为魂的中国特色社会主义文化自信具有重要意义。新时代坚定文化自信、推动中国特色社会主义文化建设需要充分发挥地域文化的特色优势。在中国传统文化发展的过程中，地域文化扮演了符号性的角色，各地世世代代形成和积累的地域文化展现出独有的精神魅力。正是地域文化的熠熠生辉汇聚形成了中国传统文化的璀璨光芒，共同构筑了中华民族的精神命脉。深入挖掘地域文化的鲜活内涵和个性魅力，实质上是推进中华优秀传统文化创造性转化、创新性发展的重要引擎，为夯实文化自信的根基提供强大动力。</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关于提前下达2024年中央补助地方公共文化服务体系建设补助资金预算的通知》克财教【2023】67号文件，下达资金22.5万元，用于下乡开展演出5场次，涉及乡镇数量9个；通过项目的实施宣传当地传统文化，提高当地群众文化意识</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实施主体：本项目的主管部门为阿图什市歌舞团,实施单位为阿图什市歌舞团，主要职责：项目实施过程中严格按照实施方案进行实施并及时进行监督管理，项目实施后进行及时验收及后期管理。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2</w:t>
      </w:r>
      <w:r>
        <w:rPr>
          <w:rStyle w:val="Strong"/>
          <w:rFonts w:ascii="仿宋_GB2312" w:hAnsi="仿宋_GB2312" w:cs="仿宋_GB2312" w:hint="eastAsia"/>
          <w:b w:val="0"/>
          <w:bCs w:val="0"/>
          <w:color w:val="auto"/>
          <w:spacing w:val="-4"/>
          <w:sz w:val="32"/>
          <w:szCs w:val="30"/>
          <w:highlight w:val="none"/>
          <w:lang w:val="en-US" w:eastAsia="zh-CN"/>
        </w:rPr>
        <w:t xml:space="preserve">2.5</w:t>
      </w:r>
      <w:r>
        <w:rPr>
          <w:rStyle w:val="Strong"/>
          <w:rFonts w:ascii="仿宋_GB2312" w:hAnsi="仿宋_GB2312" w:cs="仿宋_GB2312" w:hint="eastAsia"/>
          <w:b w:val="0"/>
          <w:bCs w:val="0"/>
          <w:color w:val="auto"/>
          <w:spacing w:val="-4"/>
          <w:sz w:val="32"/>
          <w:szCs w:val="30"/>
          <w:highlight w:val="none"/>
        </w:rPr>
        <w:t xml:space="preserve">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2</w:t>
      </w:r>
      <w:r>
        <w:rPr>
          <w:rStyle w:val="Strong"/>
          <w:rFonts w:ascii="仿宋_GB2312" w:hAnsi="仿宋_GB2312" w:cs="仿宋_GB2312" w:hint="eastAsia"/>
          <w:b w:val="0"/>
          <w:color w:val="auto"/>
          <w:spacing w:val="-4"/>
          <w:sz w:val="32"/>
          <w:szCs w:val="30"/>
          <w:highlight w:val="none"/>
          <w:lang w:val="en-US" w:eastAsia="zh-CN"/>
        </w:rPr>
        <w:t xml:space="preserve">.75</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2.2</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公共文化服务体系建设</w:t>
      </w:r>
      <w:r>
        <w:rPr>
          <w:rStyle w:val="Strong"/>
          <w:rFonts w:ascii="仿宋_GB2312" w:hint="eastAsia"/>
          <w:b w:val="0"/>
          <w:color w:val="auto"/>
          <w:spacing w:val="-4"/>
          <w:sz w:val="32"/>
          <w:highlight w:val="none"/>
          <w:lang w:val="en-US" w:eastAsia="zh-CN"/>
        </w:rPr>
        <w:t xml:space="preserve">补助成本（演出经费）：2.75万元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中央补助地方公共文化服务体系建设补助资金预算的通知》克财教【2023】67号文件，下达资金22.5万元，用于下乡开展演出5场次，涉及乡镇数量9个；通过项目的实施宣传当地传统文化，提高当地群众文化意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2024年中央补助地方公共文化服务体系建设补助资金项目（演出经费）</w:t>
      </w:r>
      <w:r>
        <w:rPr>
          <w:rFonts w:ascii="仿宋_GB2312" w:hAnsi="仿宋_GB2312" w:cs="仿宋_GB2312" w:hint="eastAsia"/>
          <w:color w:val="auto"/>
          <w:sz w:val="32"/>
          <w:szCs w:val="32"/>
          <w:highlight w:val="none"/>
        </w:rPr>
        <w:t xml:space="preserve">从预算编制合理性、资金使用合规性、项目管理规范性、实施情况、总体绩效目标、各项绩效指标完成情况以及预算执行情况进行科学性评价。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2024年中央补助地方公共文化服务体系建设补助资金项目（演出经费）</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2024年中央补助地方公共文化服务体系建设补助资金项目（演出经费）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2024年中央补助地方公共文化服务体系建设补助资金项目（演出经费）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2024年中央补助地方公共文化服务体系建设补助资金项目（演出经费）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夏木西努尔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赵国峰</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马依热布比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补助地方公共文化服务体系建设补助资金项目（演出经费）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补助地方公共文化服务体系建设补助资金项目（演出经费）综合得分为92.11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2024年中央补助地方公共文化服务体系建设补助资金项目（演出经费）评价得分情况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9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8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12.61</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预算执行率扣4.39分</w:t>
            </w:r>
          </w:p>
        </w:tc>
      </w:tr>
      <w:tr>
        <w:tblPrEx>
          <w:tblW w:w="9309" w:type="dxa"/>
          <w:tblLayout w:type="fixed"/>
          <w:tblCellMar>
            <w:top w:w="0" w:type="dxa"/>
            <w:left w:w="10" w:type="dxa"/>
            <w:bottom w:w="0" w:type="dxa"/>
            <w:right w:w="10" w:type="dxa"/>
          </w:tblCellMar>
        </w:tblPrEx>
        <w:trPr>
          <w:trHeight w:hRule="exact" w:val="69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26.5</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质量指标扣3.5分</w:t>
            </w:r>
          </w:p>
        </w:tc>
      </w:tr>
      <w:tr>
        <w:tblPrEx>
          <w:tblW w:w="9309" w:type="dxa"/>
          <w:tblLayout w:type="fixed"/>
          <w:tblCellMar>
            <w:top w:w="0" w:type="dxa"/>
            <w:left w:w="10" w:type="dxa"/>
            <w:bottom w:w="0" w:type="dxa"/>
            <w:right w:w="10" w:type="dxa"/>
          </w:tblCellMar>
        </w:tblPrEx>
        <w:trPr>
          <w:trHeight w:hRule="exact" w:val="601"/>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644"/>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92.11</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2024年中央补助地方公共文化服务体系建设补助资金项目（演出经费）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年已完成涉及乡镇数量9个</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开展演出场次5场次等工作；通过该项目的实施有效宣传当地传统文化，提高当地群众文化意识，达到预期效果。</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2024年中央补助地方公共文化服务体系建设补助资金项目（演出经费）</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2.75</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92.11</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中央补助地方公共文化服务体系建设补助资金项目（演出经费）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2024年中央补助地方公共文化服务体系建设补助资金项目（演出经费）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2024年中央补助地方公共文化服务体系建设补助资金项目（演出经费）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2024年中央补助地方公共文化服务体系建设补助资金项目（演出经费）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w:t>
      </w:r>
      <w:r>
        <w:rPr>
          <w:rFonts w:ascii="仿宋_GB2312" w:hAnsi="仿宋_GB2312" w:cs="仿宋_GB2312" w:hint="eastAsia"/>
          <w:color w:val="auto"/>
          <w:sz w:val="32"/>
          <w:szCs w:val="32"/>
          <w:highlight w:val="none"/>
          <w:lang w:val="en-US" w:eastAsia="zh-CN"/>
        </w:rPr>
        <w:tab/>
      </w:r>
      <w:r>
        <w:rPr>
          <w:rFonts w:ascii="仿宋_GB2312" w:hAnsi="仿宋_GB2312" w:cs="仿宋_GB2312" w:hint="eastAsia"/>
          <w:color w:val="auto"/>
          <w:sz w:val="32"/>
          <w:szCs w:val="32"/>
          <w:highlight w:val="none"/>
        </w:rPr>
        <w:t xml:space="preserve">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2024年中央补助地方公共文化服务体系建设补助资金项目（演出经费）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数量指标为涉及乡镇数量，预期指标值是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9个，实际完成值是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9个，指标达到预期目标。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数量指标为开展演出场次，预期指标值是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5场次，实际完成值是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5场次，指标达到预期目标。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质量指标为演出质量达标率，预期指标值是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100%，实际完成值是12.2%%，指标达到预期目标。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时效指标为资金下拨及时率，预期指标值是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val="en-US" w:eastAsia="zh-CN"/>
        </w:rPr>
        <w:t xml:space="preserve">100%</w:t>
      </w:r>
      <w:r>
        <w:rPr>
          <w:rFonts w:ascii="仿宋_GB2312" w:hint="eastAsia"/>
          <w:color w:val="auto"/>
          <w:sz w:val="32"/>
          <w:szCs w:val="32"/>
          <w:highlight w:val="none"/>
        </w:rPr>
        <w:t xml:space="preserve">，指标达到预期目标。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lang w:val="en-US" w:eastAsia="zh-CN"/>
        </w:rPr>
        <w:t xml:space="preserve">无。</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指标为保障演出工作顺利开展，预期指标值是有效保障，实际完成值是有效保障，指标达到预期目标。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22.5</w:t>
      </w:r>
      <w:r>
        <w:rPr>
          <w:rFonts w:hint="eastAsia"/>
          <w:color w:val="auto"/>
          <w:sz w:val="32"/>
          <w:highlight w:val="none"/>
        </w:rPr>
        <w:t xml:space="preserve">万元，执行数</w:t>
      </w:r>
      <w:r>
        <w:rPr>
          <w:rFonts w:hint="eastAsia"/>
          <w:color w:val="auto"/>
          <w:sz w:val="32"/>
          <w:highlight w:val="none"/>
          <w:lang w:val="en-US" w:eastAsia="zh-CN"/>
        </w:rPr>
        <w:t xml:space="preserve">2.75</w:t>
      </w:r>
      <w:r>
        <w:rPr>
          <w:rFonts w:hint="eastAsia"/>
          <w:color w:val="auto"/>
          <w:sz w:val="32"/>
          <w:highlight w:val="none"/>
        </w:rPr>
        <w:t xml:space="preserve">万元，执行率</w:t>
      </w:r>
      <w:r>
        <w:rPr>
          <w:rFonts w:hint="eastAsia"/>
          <w:color w:val="auto"/>
          <w:sz w:val="32"/>
          <w:highlight w:val="none"/>
          <w:lang w:val="en-US" w:eastAsia="zh-CN"/>
        </w:rPr>
        <w:t xml:space="preserve">12.2</w:t>
      </w:r>
      <w:r>
        <w:rPr>
          <w:rFonts w:hint="eastAsia"/>
          <w:color w:val="auto"/>
          <w:sz w:val="32"/>
          <w:highlight w:val="none"/>
        </w:rPr>
        <w:t xml:space="preserve">%，绩效指标完成率</w:t>
      </w:r>
      <w:r>
        <w:rPr>
          <w:rFonts w:hint="eastAsia"/>
          <w:color w:val="auto"/>
          <w:sz w:val="32"/>
          <w:highlight w:val="none"/>
          <w:lang w:val="en-US" w:eastAsia="zh-CN"/>
        </w:rPr>
        <w:t xml:space="preserve">89</w:t>
      </w:r>
      <w:r>
        <w:rPr>
          <w:rFonts w:hint="eastAsia"/>
          <w:color w:val="auto"/>
          <w:sz w:val="32"/>
          <w:highlight w:val="none"/>
        </w:rPr>
        <w:t xml:space="preserve">%，偏差率</w:t>
      </w:r>
      <w:r>
        <w:rPr>
          <w:rFonts w:hint="eastAsia"/>
          <w:color w:val="auto"/>
          <w:sz w:val="32"/>
          <w:highlight w:val="none"/>
          <w:lang w:val="en-US" w:eastAsia="zh-CN"/>
        </w:rPr>
        <w:t xml:space="preserve">76.8</w:t>
      </w:r>
      <w:r>
        <w:rPr>
          <w:rFonts w:hint="eastAsia"/>
          <w:color w:val="auto"/>
          <w:sz w:val="32"/>
          <w:highlight w:val="none"/>
        </w:rPr>
        <w:t xml:space="preserve">%。偏差原因：根据实际产生的费用进行支出，因此指标完成情况存在偏差。</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0.61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92.11</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14D60DDBD41F4200B2553C6C2694BB68_13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14D60DDBD41F4200B2553C6C2694BB68_13</vt:lpwstr>
  </property>
  <property fmtid="{D5CDD505-2E9C-101B-9397-08002B2CF9AE}" pid="4" name="KSOTemplateDocerSaveRecord">
    <vt:lpwstr>eyJoZGlkIjoiYzZkNzQ4ZWFiZmQ4NTRhOWRkZTk3YTMwMjlmMmZhYmUiLCJ1c2VySWQiOiI1NzgxMjU4NDIifQ_x003D__x003D_</vt:lpwstr>
  </property>
</Properties>
</file>