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阿图什市吐古买提乡健康服务站2024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05A74CF">
      <w:r>
        <w:br w:type="page"/>
      </w:r>
    </w:p>
    <w:p w14:paraId="3EF1280D">
      <w:pPr>
        <w:spacing w:line="640" w:lineRule="exact"/>
        <w:jc w:val="center"/>
        <w:outlineLvl w:val="1"/>
      </w:pPr>
      <w:r>
        <w:rPr>
          <w:rFonts w:ascii="黑体" w:hAnsi="黑体" w:eastAsia="黑体"/>
          <w:sz w:val="32"/>
        </w:rPr>
        <w:t>第一部分 单位概况</w:t>
      </w:r>
    </w:p>
    <w:p w14:paraId="33F78970">
      <w:pPr>
        <w:spacing w:line="640" w:lineRule="exact"/>
        <w:ind w:firstLine="640"/>
        <w:jc w:val="both"/>
        <w:outlineLvl w:val="2"/>
      </w:pPr>
      <w:r>
        <w:rPr>
          <w:rFonts w:ascii="黑体" w:hAnsi="黑体" w:eastAsia="黑体"/>
          <w:sz w:val="32"/>
        </w:rPr>
        <w:t>一、主要职能</w:t>
      </w:r>
    </w:p>
    <w:p w14:paraId="33FD7C76">
      <w:pPr>
        <w:spacing w:line="580" w:lineRule="exact"/>
        <w:ind w:firstLine="640"/>
        <w:jc w:val="both"/>
      </w:pPr>
      <w:r>
        <w:rPr>
          <w:rFonts w:ascii="仿宋_GB2312" w:hAnsi="仿宋_GB2312" w:eastAsia="仿宋_GB2312"/>
          <w:sz w:val="32"/>
        </w:rPr>
        <w:t>认真贯彻执行健康的政策法规，完成上级下达的各项任务。向群众宣传健康政策、法规、避孕节育、优生优育、健康等知识、帮助群众树立文明、科学、进步的婚育观，保证宣传资料发放到每家每户，主动向计生对象做好说服、动员等工作，掌握育龄群众结婚、怀孕、节育和健康动态情况，做好统计工作，按规定真实、准确、无误地做好各类数据的统计。</w:t>
      </w:r>
    </w:p>
    <w:p w14:paraId="7C15794D">
      <w:pPr>
        <w:spacing w:line="640" w:lineRule="exact"/>
        <w:ind w:firstLine="640"/>
        <w:jc w:val="both"/>
        <w:outlineLvl w:val="2"/>
      </w:pPr>
      <w:r>
        <w:rPr>
          <w:rFonts w:ascii="黑体" w:hAnsi="黑体" w:eastAsia="黑体"/>
          <w:sz w:val="32"/>
        </w:rPr>
        <w:t>二、机构设置及人员情况</w:t>
      </w:r>
    </w:p>
    <w:p w14:paraId="0AB216E1">
      <w:pPr>
        <w:spacing w:line="580" w:lineRule="exact"/>
        <w:ind w:firstLine="640"/>
        <w:jc w:val="both"/>
      </w:pPr>
      <w:r>
        <w:rPr>
          <w:rFonts w:ascii="仿宋_GB2312" w:hAnsi="仿宋_GB2312" w:eastAsia="仿宋_GB2312"/>
          <w:sz w:val="32"/>
        </w:rPr>
        <w:t>阿图什市吐古买提乡健康服务站2024年度，实有人数9人，其中：在职人员6人，减少2人；离休人员0人，增加0人；退休人员3人</w:t>
      </w:r>
      <w:r>
        <w:rPr>
          <w:rFonts w:hint="eastAsia" w:ascii="仿宋_GB2312" w:hAnsi="仿宋_GB2312" w:eastAsia="仿宋_GB2312"/>
          <w:sz w:val="32"/>
          <w:lang w:eastAsia="zh-CN"/>
        </w:rPr>
        <w:t>，</w:t>
      </w:r>
      <w:r>
        <w:rPr>
          <w:rFonts w:ascii="仿宋_GB2312" w:hAnsi="仿宋_GB2312" w:eastAsia="仿宋_GB2312"/>
          <w:sz w:val="32"/>
        </w:rPr>
        <w:t>增加0人。</w:t>
      </w:r>
    </w:p>
    <w:p w14:paraId="2C0724FA">
      <w:pPr>
        <w:spacing w:line="580" w:lineRule="exact"/>
        <w:ind w:firstLine="640"/>
        <w:jc w:val="both"/>
      </w:pPr>
      <w:r>
        <w:rPr>
          <w:rFonts w:ascii="仿宋_GB2312" w:hAnsi="仿宋_GB2312" w:eastAsia="仿宋_GB2312"/>
          <w:sz w:val="32"/>
        </w:rPr>
        <w:t>阿图什市吐古买提乡健康服务站无下属预算单位，下设3个科室，分别是：医疗室、体检室、档案室。</w:t>
      </w:r>
    </w:p>
    <w:p w14:paraId="3A65FAB6">
      <w:r>
        <w:br w:type="page"/>
      </w:r>
    </w:p>
    <w:p w14:paraId="78504756">
      <w:pPr>
        <w:spacing w:line="240" w:lineRule="auto"/>
        <w:jc w:val="center"/>
        <w:outlineLvl w:val="1"/>
      </w:pPr>
      <w:r>
        <w:rPr>
          <w:rFonts w:ascii="黑体" w:hAnsi="黑体" w:eastAsia="黑体"/>
          <w:sz w:val="32"/>
        </w:rPr>
        <w:t>第二部分 部门决算情况说明</w:t>
      </w:r>
    </w:p>
    <w:p w14:paraId="2E37494E">
      <w:pPr>
        <w:spacing w:line="640" w:lineRule="exact"/>
        <w:ind w:firstLine="640"/>
        <w:jc w:val="both"/>
        <w:outlineLvl w:val="2"/>
      </w:pPr>
      <w:r>
        <w:rPr>
          <w:rFonts w:ascii="黑体" w:hAnsi="黑体" w:eastAsia="黑体"/>
          <w:sz w:val="32"/>
        </w:rPr>
        <w:t>一、收入支出决算总体情况说明</w:t>
      </w:r>
    </w:p>
    <w:p w14:paraId="36C48FA1">
      <w:pPr>
        <w:spacing w:line="580" w:lineRule="exact"/>
        <w:ind w:firstLine="640"/>
        <w:jc w:val="both"/>
      </w:pPr>
      <w:r>
        <w:rPr>
          <w:rFonts w:ascii="仿宋_GB2312" w:hAnsi="仿宋_GB2312" w:eastAsia="仿宋_GB2312"/>
          <w:b/>
          <w:sz w:val="32"/>
        </w:rPr>
        <w:t>2024年度收入总计116.75万元，</w:t>
      </w:r>
      <w:r>
        <w:rPr>
          <w:rFonts w:ascii="仿宋_GB2312" w:hAnsi="仿宋_GB2312" w:eastAsia="仿宋_GB2312"/>
          <w:b w:val="0"/>
          <w:sz w:val="32"/>
        </w:rPr>
        <w:t>其中：本年收入合计116.75万元，使用非财政拨款结余（含专用结余）0.00万元，年初结转和结余0.00万元。</w:t>
      </w:r>
    </w:p>
    <w:p w14:paraId="0CEAD179">
      <w:pPr>
        <w:spacing w:line="580" w:lineRule="exact"/>
        <w:ind w:firstLine="640"/>
        <w:jc w:val="both"/>
      </w:pPr>
      <w:r>
        <w:rPr>
          <w:rFonts w:ascii="仿宋_GB2312" w:hAnsi="仿宋_GB2312" w:eastAsia="仿宋_GB2312"/>
          <w:b/>
          <w:sz w:val="32"/>
        </w:rPr>
        <w:t>2024年度支出总计116.75万元，</w:t>
      </w:r>
      <w:r>
        <w:rPr>
          <w:rFonts w:ascii="仿宋_GB2312" w:hAnsi="仿宋_GB2312" w:eastAsia="仿宋_GB2312"/>
          <w:b w:val="0"/>
          <w:sz w:val="32"/>
        </w:rPr>
        <w:t>其中：本年支出合计116.75万元，结余分配0.00万元，年末结转和结余0.00万元。</w:t>
      </w:r>
    </w:p>
    <w:p w14:paraId="74BA456D">
      <w:pPr>
        <w:spacing w:line="580" w:lineRule="exact"/>
        <w:ind w:firstLine="640"/>
        <w:jc w:val="both"/>
      </w:pPr>
      <w:r>
        <w:rPr>
          <w:rFonts w:ascii="仿宋_GB2312" w:hAnsi="仿宋_GB2312" w:eastAsia="仿宋_GB2312"/>
          <w:b w:val="0"/>
          <w:sz w:val="32"/>
        </w:rPr>
        <w:t>收入支出总体与上年相比，增加2.25万元，增长1.97%，主要原因是：本年在职人员工资调增，社保、公积金基数调增，人员经费增加。</w:t>
      </w:r>
    </w:p>
    <w:p w14:paraId="3071BFBC">
      <w:pPr>
        <w:spacing w:line="640" w:lineRule="exact"/>
        <w:ind w:firstLine="640"/>
        <w:jc w:val="both"/>
        <w:outlineLvl w:val="2"/>
      </w:pPr>
      <w:r>
        <w:rPr>
          <w:rFonts w:ascii="黑体" w:hAnsi="黑体" w:eastAsia="黑体"/>
          <w:sz w:val="32"/>
        </w:rPr>
        <w:t>二、收入决算情况说明</w:t>
      </w:r>
    </w:p>
    <w:p w14:paraId="5016DC51">
      <w:pPr>
        <w:spacing w:line="580" w:lineRule="exact"/>
        <w:ind w:firstLine="640"/>
        <w:jc w:val="both"/>
      </w:pPr>
      <w:r>
        <w:rPr>
          <w:rFonts w:ascii="仿宋_GB2312" w:hAnsi="仿宋_GB2312" w:eastAsia="仿宋_GB2312"/>
          <w:b/>
          <w:sz w:val="32"/>
        </w:rPr>
        <w:t>本年收入116.75万元，</w:t>
      </w:r>
      <w:r>
        <w:rPr>
          <w:rFonts w:ascii="仿宋_GB2312" w:hAnsi="仿宋_GB2312" w:eastAsia="仿宋_GB2312"/>
          <w:b w:val="0"/>
          <w:sz w:val="32"/>
        </w:rPr>
        <w:t>其中：财政拨款收入116.75万元，占100.00%；上级补助收入0.00万元，占0.00%；事业收入0.00万元，占0.00%；经营收入0.00万元，占0.00%；附属单位上缴收入0.00万元，占0.00%；其他收入0.00万元，占0.00%。</w:t>
      </w:r>
    </w:p>
    <w:p w14:paraId="5434EF21">
      <w:pPr>
        <w:spacing w:line="640" w:lineRule="exact"/>
        <w:ind w:firstLine="640"/>
        <w:jc w:val="both"/>
        <w:outlineLvl w:val="2"/>
      </w:pPr>
      <w:r>
        <w:rPr>
          <w:rFonts w:ascii="黑体" w:hAnsi="黑体" w:eastAsia="黑体"/>
          <w:sz w:val="32"/>
        </w:rPr>
        <w:t>三、支出决算情况说明</w:t>
      </w:r>
    </w:p>
    <w:p w14:paraId="68AB48EA">
      <w:pPr>
        <w:spacing w:line="580" w:lineRule="exact"/>
        <w:ind w:firstLine="640"/>
        <w:jc w:val="both"/>
      </w:pPr>
      <w:r>
        <w:rPr>
          <w:rFonts w:ascii="仿宋_GB2312" w:hAnsi="仿宋_GB2312" w:eastAsia="仿宋_GB2312"/>
          <w:b/>
          <w:sz w:val="32"/>
        </w:rPr>
        <w:t>本年支出116.75万元，</w:t>
      </w:r>
      <w:r>
        <w:rPr>
          <w:rFonts w:ascii="仿宋_GB2312" w:hAnsi="仿宋_GB2312" w:eastAsia="仿宋_GB2312"/>
          <w:b w:val="0"/>
          <w:sz w:val="32"/>
        </w:rPr>
        <w:t>其中：基本支出116.75万元，占100.00%；项目支出0.00万元，占0.00%；上缴上级支出0.00万元，占0.00%；经营支出0.00万元，占0.00%；对附属单位补助支出0.00万元，占0.00%。</w:t>
      </w:r>
    </w:p>
    <w:p w14:paraId="5117246C">
      <w:pPr>
        <w:spacing w:line="640" w:lineRule="exact"/>
        <w:ind w:firstLine="640"/>
        <w:jc w:val="both"/>
        <w:outlineLvl w:val="2"/>
      </w:pPr>
      <w:r>
        <w:rPr>
          <w:rFonts w:ascii="黑体" w:hAnsi="黑体" w:eastAsia="黑体"/>
          <w:sz w:val="32"/>
        </w:rPr>
        <w:t>四、财政拨款收入支出决算总体情况说明</w:t>
      </w:r>
    </w:p>
    <w:p w14:paraId="76635B88">
      <w:pPr>
        <w:spacing w:line="580" w:lineRule="exact"/>
        <w:ind w:firstLine="640"/>
        <w:jc w:val="both"/>
      </w:pPr>
      <w:r>
        <w:rPr>
          <w:rFonts w:ascii="仿宋_GB2312" w:hAnsi="仿宋_GB2312" w:eastAsia="仿宋_GB2312"/>
          <w:b/>
          <w:sz w:val="32"/>
        </w:rPr>
        <w:t>2024年度财政拨款收入总计116.75万元，</w:t>
      </w:r>
      <w:r>
        <w:rPr>
          <w:rFonts w:ascii="仿宋_GB2312" w:hAnsi="仿宋_GB2312" w:eastAsia="仿宋_GB2312"/>
          <w:b w:val="0"/>
          <w:sz w:val="32"/>
        </w:rPr>
        <w:t>其中：年初财政拨款结转和结余0.00万元，本年财政拨款收入116.75万元。</w:t>
      </w:r>
      <w:r>
        <w:rPr>
          <w:rFonts w:ascii="仿宋_GB2312" w:hAnsi="仿宋_GB2312" w:eastAsia="仿宋_GB2312"/>
          <w:b/>
          <w:sz w:val="32"/>
        </w:rPr>
        <w:t>财政拨款支出总计116.75万元，</w:t>
      </w:r>
      <w:r>
        <w:rPr>
          <w:rFonts w:ascii="仿宋_GB2312" w:hAnsi="仿宋_GB2312" w:eastAsia="仿宋_GB2312"/>
          <w:b w:val="0"/>
          <w:sz w:val="32"/>
        </w:rPr>
        <w:t>其中：年末财政拨款结转和结余0.00万元，本年财政拨款支出116.75万元。</w:t>
      </w:r>
    </w:p>
    <w:p w14:paraId="1F78E90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增加2.25万元，增长1.97%，主要原因是：本年在职人员工资调增，社保、公积金基数调增，人员经费增加。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年初预算数119.48万元，决算数116.75万元，预决算差异率-2.28%，主要原因是：本年在职人员减少，年中调减人员经费，导致预决算存在差异。</w:t>
      </w:r>
    </w:p>
    <w:p w14:paraId="29C0CFA3">
      <w:pPr>
        <w:spacing w:line="640" w:lineRule="exact"/>
        <w:ind w:firstLine="640"/>
        <w:jc w:val="both"/>
        <w:outlineLvl w:val="2"/>
      </w:pPr>
      <w:r>
        <w:rPr>
          <w:rFonts w:ascii="黑体" w:hAnsi="黑体" w:eastAsia="黑体"/>
          <w:sz w:val="32"/>
        </w:rPr>
        <w:t>五、一般公共预算财政拨款支出决算情况说明</w:t>
      </w:r>
    </w:p>
    <w:p w14:paraId="105C9B46">
      <w:pPr>
        <w:spacing w:line="640" w:lineRule="exact"/>
        <w:ind w:firstLine="640"/>
        <w:jc w:val="both"/>
        <w:outlineLvl w:val="3"/>
      </w:pPr>
      <w:r>
        <w:rPr>
          <w:rFonts w:ascii="楷体_GB2312" w:hAnsi="楷体_GB2312" w:eastAsia="楷体_GB2312"/>
          <w:b/>
          <w:sz w:val="32"/>
        </w:rPr>
        <w:t>（一）一般公共预算财政拨款支出决算总体情况</w:t>
      </w:r>
    </w:p>
    <w:p w14:paraId="350E5F9C">
      <w:pPr>
        <w:spacing w:line="580" w:lineRule="exact"/>
        <w:ind w:firstLine="640"/>
        <w:jc w:val="both"/>
      </w:pPr>
      <w:r>
        <w:rPr>
          <w:rFonts w:ascii="仿宋_GB2312" w:hAnsi="仿宋_GB2312" w:eastAsia="仿宋_GB2312"/>
          <w:b/>
          <w:sz w:val="32"/>
        </w:rPr>
        <w:t>2024年度一般公共预算财政拨款支出116.75万元，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增加2.25万元，增长1.97%，主要原因是：本年在职人员工资调增，社保、公积金基数调增，人员经费增加。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年初预算数119.48万元，决算数116.75万元，预决算差异率-2.28%，主要原因是：本年在职人员减少，年中调减人员经费，导致预决算存在差异。</w:t>
      </w:r>
    </w:p>
    <w:p w14:paraId="51284BB2">
      <w:pPr>
        <w:spacing w:line="640" w:lineRule="exact"/>
        <w:ind w:firstLine="640"/>
        <w:jc w:val="both"/>
        <w:outlineLvl w:val="3"/>
      </w:pPr>
      <w:r>
        <w:rPr>
          <w:rFonts w:ascii="楷体_GB2312" w:hAnsi="楷体_GB2312" w:eastAsia="楷体_GB2312"/>
          <w:b/>
          <w:sz w:val="32"/>
        </w:rPr>
        <w:t>（二）一般公共预算财政拨款支出决算结构情况</w:t>
      </w:r>
    </w:p>
    <w:p w14:paraId="186D6C31">
      <w:pPr>
        <w:spacing w:line="580" w:lineRule="exact"/>
        <w:ind w:firstLine="640"/>
        <w:jc w:val="both"/>
      </w:pPr>
      <w:r>
        <w:rPr>
          <w:rFonts w:ascii="仿宋_GB2312" w:hAnsi="仿宋_GB2312" w:eastAsia="仿宋_GB2312"/>
          <w:b w:val="0"/>
          <w:sz w:val="32"/>
        </w:rPr>
        <w:t>1.社会保障和就业支出(类)13.29万元</w:t>
      </w:r>
      <w:r>
        <w:rPr>
          <w:rFonts w:hint="eastAsia" w:ascii="仿宋_GB2312" w:hAnsi="仿宋_GB2312" w:eastAsia="仿宋_GB2312"/>
          <w:b w:val="0"/>
          <w:sz w:val="32"/>
          <w:lang w:eastAsia="zh-CN"/>
        </w:rPr>
        <w:t>，</w:t>
      </w:r>
      <w:r>
        <w:rPr>
          <w:rFonts w:ascii="仿宋_GB2312" w:hAnsi="仿宋_GB2312" w:eastAsia="仿宋_GB2312"/>
          <w:b w:val="0"/>
          <w:sz w:val="32"/>
        </w:rPr>
        <w:t>占11.38%。</w:t>
      </w:r>
    </w:p>
    <w:p w14:paraId="22F0F8C9">
      <w:pPr>
        <w:spacing w:line="580" w:lineRule="exact"/>
        <w:ind w:firstLine="640"/>
        <w:jc w:val="both"/>
      </w:pPr>
      <w:r>
        <w:rPr>
          <w:rFonts w:ascii="仿宋_GB2312" w:hAnsi="仿宋_GB2312" w:eastAsia="仿宋_GB2312"/>
          <w:b w:val="0"/>
          <w:sz w:val="32"/>
        </w:rPr>
        <w:t>2.卫生健康支出(类)95.37万元</w:t>
      </w:r>
      <w:r>
        <w:rPr>
          <w:rFonts w:hint="eastAsia" w:ascii="仿宋_GB2312" w:hAnsi="仿宋_GB2312" w:eastAsia="仿宋_GB2312"/>
          <w:b w:val="0"/>
          <w:sz w:val="32"/>
          <w:lang w:eastAsia="zh-CN"/>
        </w:rPr>
        <w:t>，</w:t>
      </w:r>
      <w:r>
        <w:rPr>
          <w:rFonts w:ascii="仿宋_GB2312" w:hAnsi="仿宋_GB2312" w:eastAsia="仿宋_GB2312"/>
          <w:b w:val="0"/>
          <w:sz w:val="32"/>
        </w:rPr>
        <w:t>占81.69%。</w:t>
      </w:r>
    </w:p>
    <w:p w14:paraId="1A964A6B">
      <w:pPr>
        <w:spacing w:line="580" w:lineRule="exact"/>
        <w:ind w:firstLine="640"/>
        <w:jc w:val="both"/>
      </w:pPr>
      <w:r>
        <w:rPr>
          <w:rFonts w:ascii="仿宋_GB2312" w:hAnsi="仿宋_GB2312" w:eastAsia="仿宋_GB2312"/>
          <w:b w:val="0"/>
          <w:sz w:val="32"/>
        </w:rPr>
        <w:t>3.住房保障支出(类)8.09万元</w:t>
      </w:r>
      <w:r>
        <w:rPr>
          <w:rFonts w:hint="eastAsia" w:ascii="仿宋_GB2312" w:hAnsi="仿宋_GB2312" w:eastAsia="仿宋_GB2312"/>
          <w:b w:val="0"/>
          <w:sz w:val="32"/>
          <w:lang w:eastAsia="zh-CN"/>
        </w:rPr>
        <w:t>，</w:t>
      </w:r>
      <w:r>
        <w:rPr>
          <w:rFonts w:ascii="仿宋_GB2312" w:hAnsi="仿宋_GB2312" w:eastAsia="仿宋_GB2312"/>
          <w:b w:val="0"/>
          <w:sz w:val="32"/>
        </w:rPr>
        <w:t>占6.93%。</w:t>
      </w:r>
    </w:p>
    <w:p w14:paraId="49172BED">
      <w:pPr>
        <w:spacing w:line="640" w:lineRule="exact"/>
        <w:ind w:firstLine="640"/>
        <w:jc w:val="both"/>
        <w:outlineLvl w:val="3"/>
      </w:pPr>
      <w:r>
        <w:rPr>
          <w:rFonts w:ascii="楷体_GB2312" w:hAnsi="楷体_GB2312" w:eastAsia="楷体_GB2312"/>
          <w:b/>
          <w:sz w:val="32"/>
        </w:rPr>
        <w:t>（三）一般公共预算财政拨款支出决算具体情况</w:t>
      </w:r>
    </w:p>
    <w:p w14:paraId="0E8F87E3">
      <w:pPr>
        <w:spacing w:line="580" w:lineRule="exact"/>
        <w:ind w:firstLine="640"/>
        <w:jc w:val="both"/>
      </w:pPr>
      <w:r>
        <w:rPr>
          <w:rFonts w:ascii="仿宋_GB2312" w:hAnsi="仿宋_GB2312" w:eastAsia="仿宋_GB2312"/>
          <w:b w:val="0"/>
          <w:sz w:val="32"/>
        </w:rPr>
        <w:t>1.社会保障和就业支出(类)行政事业单位养老支出(款)事业单位离退休(项)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支出决算数为3.52万元，比上年决算增加0.52万元，增长17.33%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0E803790">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支出决算数为9.77万元，比上年决算减少0.37万元，下降3.65%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14:paraId="72FFCF68">
      <w:pPr>
        <w:spacing w:line="580" w:lineRule="exact"/>
        <w:ind w:firstLine="640"/>
        <w:jc w:val="both"/>
      </w:pPr>
      <w:r>
        <w:rPr>
          <w:rFonts w:ascii="仿宋_GB2312" w:hAnsi="仿宋_GB2312" w:eastAsia="仿宋_GB2312"/>
          <w:b w:val="0"/>
          <w:sz w:val="32"/>
        </w:rPr>
        <w:t>3.卫生健康支出(类)计划生育事务(款)其他计划生育事务支出(项)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支出决算数为91.87万元，比上年决算增加2.89万元，增长3.25%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主要原因是：本年在职人员工资调增，相关基本支出增加。</w:t>
      </w:r>
    </w:p>
    <w:p w14:paraId="177D7568">
      <w:pPr>
        <w:spacing w:line="580" w:lineRule="exact"/>
        <w:ind w:firstLine="640"/>
        <w:jc w:val="both"/>
      </w:pPr>
      <w:r>
        <w:rPr>
          <w:rFonts w:ascii="仿宋_GB2312" w:hAnsi="仿宋_GB2312" w:eastAsia="仿宋_GB2312"/>
          <w:b w:val="0"/>
          <w:sz w:val="32"/>
        </w:rPr>
        <w:t>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支出决算数为3.50万元，比上年决算减少0.78万元，下降18.22%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主要原因是：本年在职人员减少，事业单位医疗支出较上年减少。</w:t>
      </w:r>
    </w:p>
    <w:p w14:paraId="7B9D09DD">
      <w:pPr>
        <w:spacing w:line="580" w:lineRule="exact"/>
        <w:ind w:firstLine="640"/>
        <w:jc w:val="both"/>
      </w:pPr>
      <w:r>
        <w:rPr>
          <w:rFonts w:ascii="仿宋_GB2312" w:hAnsi="仿宋_GB2312" w:eastAsia="仿宋_GB2312"/>
          <w:b w:val="0"/>
          <w:sz w:val="32"/>
        </w:rPr>
        <w:t>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支出决算数为8.09万元，比上年决算减少0.02万元，下降0.25%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14:paraId="4A81D320">
      <w:pPr>
        <w:spacing w:line="640" w:lineRule="exact"/>
        <w:ind w:firstLine="640"/>
        <w:jc w:val="both"/>
        <w:outlineLvl w:val="2"/>
      </w:pPr>
      <w:r>
        <w:rPr>
          <w:rFonts w:ascii="黑体" w:hAnsi="黑体" w:eastAsia="黑体"/>
          <w:sz w:val="32"/>
        </w:rPr>
        <w:t>六、一般公共预算财政拨款基本支出决算情况说明</w:t>
      </w:r>
    </w:p>
    <w:p w14:paraId="6F6D0869">
      <w:pPr>
        <w:spacing w:line="580" w:lineRule="exact"/>
        <w:ind w:firstLine="640"/>
        <w:jc w:val="both"/>
      </w:pPr>
      <w:r>
        <w:rPr>
          <w:rFonts w:ascii="仿宋_GB2312" w:hAnsi="仿宋_GB2312" w:eastAsia="仿宋_GB2312"/>
          <w:b w:val="0"/>
          <w:sz w:val="32"/>
        </w:rPr>
        <w:t>2024年度一般公共预算财政拨款基本支出116.75万元，其中：</w:t>
      </w:r>
      <w:r>
        <w:rPr>
          <w:rFonts w:ascii="仿宋_GB2312" w:hAnsi="仿宋_GB2312" w:eastAsia="仿宋_GB2312"/>
          <w:b/>
          <w:sz w:val="32"/>
        </w:rPr>
        <w:t>人员经费115.55万元，</w:t>
      </w:r>
      <w:r>
        <w:rPr>
          <w:rFonts w:ascii="仿宋_GB2312" w:hAnsi="仿宋_GB2312" w:eastAsia="仿宋_GB2312"/>
          <w:b w:val="0"/>
          <w:sz w:val="32"/>
        </w:rPr>
        <w:t>包括：基本工资、津贴补贴、奖金、机关事业单位基本养老保险缴费、职工基本医疗保险缴费、其他社会保障缴费、住房公积金、退休费。</w:t>
      </w:r>
    </w:p>
    <w:p w14:paraId="6B0249DA">
      <w:pPr>
        <w:spacing w:line="580" w:lineRule="exact"/>
        <w:ind w:firstLine="640"/>
        <w:jc w:val="both"/>
      </w:pPr>
      <w:r>
        <w:rPr>
          <w:rFonts w:ascii="仿宋_GB2312" w:hAnsi="仿宋_GB2312" w:eastAsia="仿宋_GB2312"/>
          <w:b/>
          <w:sz w:val="32"/>
        </w:rPr>
        <w:t>公用经费1.20万元，</w:t>
      </w:r>
      <w:r>
        <w:rPr>
          <w:rFonts w:ascii="仿宋_GB2312" w:hAnsi="仿宋_GB2312" w:eastAsia="仿宋_GB2312"/>
          <w:b w:val="0"/>
          <w:sz w:val="32"/>
        </w:rPr>
        <w:t>包括：办公费。</w:t>
      </w:r>
    </w:p>
    <w:p w14:paraId="6C562EF0">
      <w:pPr>
        <w:spacing w:line="640" w:lineRule="exact"/>
        <w:ind w:firstLine="640"/>
        <w:jc w:val="both"/>
        <w:outlineLvl w:val="2"/>
      </w:pPr>
      <w:r>
        <w:rPr>
          <w:rFonts w:ascii="黑体" w:hAnsi="黑体" w:eastAsia="黑体"/>
          <w:sz w:val="32"/>
        </w:rPr>
        <w:t>七、政府性基金预算财政拨款收入支出决算情况说明</w:t>
      </w:r>
    </w:p>
    <w:p w14:paraId="249AD8F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D5D654E">
      <w:pPr>
        <w:spacing w:line="640" w:lineRule="exact"/>
        <w:ind w:firstLine="640"/>
        <w:jc w:val="both"/>
        <w:outlineLvl w:val="2"/>
      </w:pPr>
      <w:r>
        <w:rPr>
          <w:rFonts w:ascii="黑体" w:hAnsi="黑体" w:eastAsia="黑体"/>
          <w:sz w:val="32"/>
        </w:rPr>
        <w:t>八、国有资本经营预算财政拨款收入支出决算情况说明</w:t>
      </w:r>
    </w:p>
    <w:p w14:paraId="7EDFE07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A6797F">
      <w:pPr>
        <w:spacing w:line="640" w:lineRule="exact"/>
        <w:ind w:firstLine="640"/>
        <w:jc w:val="both"/>
        <w:outlineLvl w:val="2"/>
      </w:pPr>
      <w:r>
        <w:rPr>
          <w:rFonts w:ascii="黑体" w:hAnsi="黑体" w:eastAsia="黑体"/>
          <w:sz w:val="32"/>
        </w:rPr>
        <w:t>九、财政拨款“三公”经费支出决算情况说明</w:t>
      </w:r>
    </w:p>
    <w:p w14:paraId="4D405CA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BC805F8">
      <w:pPr>
        <w:spacing w:line="580" w:lineRule="exact"/>
        <w:ind w:firstLine="640"/>
        <w:jc w:val="both"/>
      </w:pPr>
      <w:r>
        <w:rPr>
          <w:rFonts w:ascii="仿宋_GB2312" w:hAnsi="仿宋_GB2312" w:eastAsia="仿宋_GB2312"/>
          <w:b/>
          <w:sz w:val="32"/>
        </w:rPr>
        <w:t>具体情况如下：</w:t>
      </w:r>
    </w:p>
    <w:p w14:paraId="14B747F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ABDBE9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6DCCA1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36FE9F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6A95AEA">
      <w:pPr>
        <w:spacing w:line="640" w:lineRule="exact"/>
        <w:ind w:firstLine="640"/>
        <w:jc w:val="both"/>
        <w:outlineLvl w:val="2"/>
      </w:pPr>
      <w:r>
        <w:rPr>
          <w:rFonts w:ascii="黑体" w:hAnsi="黑体" w:eastAsia="黑体"/>
          <w:sz w:val="32"/>
        </w:rPr>
        <w:t>十、其他重要事项的情况说明</w:t>
      </w:r>
    </w:p>
    <w:p w14:paraId="49D05F4F">
      <w:pPr>
        <w:spacing w:line="640" w:lineRule="exact"/>
        <w:ind w:firstLine="640"/>
        <w:jc w:val="both"/>
        <w:outlineLvl w:val="3"/>
      </w:pPr>
      <w:r>
        <w:rPr>
          <w:rFonts w:ascii="楷体_GB2312" w:hAnsi="楷体_GB2312" w:eastAsia="楷体_GB2312"/>
          <w:b/>
          <w:sz w:val="32"/>
        </w:rPr>
        <w:t>（一）机关运行经费及公用经费支出情况</w:t>
      </w:r>
    </w:p>
    <w:p w14:paraId="72715D9D">
      <w:pPr>
        <w:spacing w:line="580" w:lineRule="exact"/>
        <w:ind w:firstLine="640"/>
        <w:jc w:val="both"/>
      </w:pPr>
      <w:r>
        <w:rPr>
          <w:rFonts w:ascii="仿宋_GB2312" w:hAnsi="仿宋_GB2312" w:eastAsia="仿宋_GB2312"/>
          <w:b w:val="0"/>
          <w:sz w:val="32"/>
        </w:rPr>
        <w:t>2024年度阿图什市吐古买提乡</w:t>
      </w:r>
      <w:bookmarkStart w:id="0" w:name="_GoBack"/>
      <w:bookmarkEnd w:id="0"/>
      <w:r>
        <w:rPr>
          <w:rFonts w:ascii="仿宋_GB2312" w:hAnsi="仿宋_GB2312" w:eastAsia="仿宋_GB2312"/>
          <w:b w:val="0"/>
          <w:sz w:val="32"/>
        </w:rPr>
        <w:t>健康服务站（事业单位）公用经费支出1.20万元，比上年增加0.00万元，增长0.00%，主要原因是：本年办公经费与上年一致无变化。</w:t>
      </w:r>
    </w:p>
    <w:p w14:paraId="059AAEB6">
      <w:pPr>
        <w:spacing w:line="640" w:lineRule="exact"/>
        <w:ind w:firstLine="640"/>
        <w:jc w:val="both"/>
        <w:outlineLvl w:val="3"/>
      </w:pPr>
      <w:r>
        <w:rPr>
          <w:rFonts w:ascii="楷体_GB2312" w:hAnsi="楷体_GB2312" w:eastAsia="楷体_GB2312"/>
          <w:b/>
          <w:sz w:val="32"/>
        </w:rPr>
        <w:t>（二）政府采购情况</w:t>
      </w:r>
    </w:p>
    <w:p w14:paraId="1420573E">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EE76E3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588BC81E">
      <w:pPr>
        <w:spacing w:line="640" w:lineRule="exact"/>
        <w:ind w:firstLine="640"/>
        <w:jc w:val="both"/>
        <w:outlineLvl w:val="3"/>
      </w:pPr>
      <w:r>
        <w:rPr>
          <w:rFonts w:ascii="楷体_GB2312" w:hAnsi="楷体_GB2312" w:eastAsia="楷体_GB2312"/>
          <w:b/>
          <w:sz w:val="32"/>
        </w:rPr>
        <w:t>（三）国有资产占用情况说明</w:t>
      </w:r>
    </w:p>
    <w:p w14:paraId="0A0CE05D">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C365CD8">
      <w:pPr>
        <w:spacing w:line="640" w:lineRule="exact"/>
        <w:ind w:firstLine="640"/>
        <w:jc w:val="both"/>
        <w:outlineLvl w:val="2"/>
      </w:pPr>
      <w:r>
        <w:rPr>
          <w:rFonts w:ascii="黑体" w:hAnsi="黑体" w:eastAsia="黑体"/>
          <w:sz w:val="32"/>
        </w:rPr>
        <w:t>十一、预算绩效的情况说明</w:t>
      </w:r>
    </w:p>
    <w:p w14:paraId="0FB883C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14:paraId="583DAC81">
      <w:r>
        <w:br w:type="page"/>
      </w:r>
    </w:p>
    <w:p w14:paraId="5DE92BE5">
      <w:pPr>
        <w:spacing w:line="640" w:lineRule="exact"/>
        <w:ind w:firstLine="640"/>
        <w:jc w:val="both"/>
        <w:outlineLvl w:val="2"/>
      </w:pPr>
      <w:r>
        <w:rPr>
          <w:rFonts w:ascii="黑体" w:hAnsi="黑体" w:eastAsia="黑体"/>
          <w:sz w:val="32"/>
        </w:rPr>
        <w:t>十二、其他需说明的事项</w:t>
      </w:r>
    </w:p>
    <w:p w14:paraId="05889531">
      <w:pPr>
        <w:spacing w:line="580" w:lineRule="exact"/>
        <w:ind w:firstLine="640"/>
        <w:jc w:val="both"/>
      </w:pPr>
      <w:r>
        <w:rPr>
          <w:rFonts w:ascii="仿宋_GB2312" w:hAnsi="仿宋_GB2312" w:eastAsia="仿宋_GB2312"/>
          <w:b w:val="0"/>
          <w:sz w:val="32"/>
        </w:rPr>
        <w:t>本单位2024年度无政府采购支出，授予中小企业合同金额0.00万元。本年度本单位整体绩效自评表由阿图什市吐古买提乡人民政府编报并公开。</w:t>
      </w:r>
    </w:p>
    <w:p w14:paraId="2FB52206">
      <w:r>
        <w:br w:type="page"/>
      </w:r>
    </w:p>
    <w:p w14:paraId="6C816200">
      <w:pPr>
        <w:spacing w:line="240" w:lineRule="auto"/>
        <w:jc w:val="center"/>
        <w:outlineLvl w:val="1"/>
      </w:pPr>
      <w:r>
        <w:rPr>
          <w:rFonts w:ascii="黑体" w:hAnsi="黑体" w:eastAsia="黑体"/>
          <w:sz w:val="32"/>
        </w:rPr>
        <w:t>第三部分 专业名词解释</w:t>
      </w:r>
    </w:p>
    <w:p w14:paraId="7EBBDA2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6CF862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34B96E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F8BDEB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2A4A3B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E29A9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81581D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28ABA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14977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9018F5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A83AC6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F62FE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FCD23B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55DF33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A4BB68A">
      <w:r>
        <w:br w:type="page"/>
      </w:r>
    </w:p>
    <w:p w14:paraId="35532F6B">
      <w:pPr>
        <w:spacing w:line="240" w:lineRule="auto"/>
        <w:jc w:val="center"/>
        <w:outlineLvl w:val="1"/>
      </w:pPr>
      <w:r>
        <w:rPr>
          <w:rFonts w:ascii="黑体" w:hAnsi="黑体" w:eastAsia="黑体"/>
          <w:sz w:val="32"/>
        </w:rPr>
        <w:t>第四部分 部门决算报表（见附表）</w:t>
      </w:r>
    </w:p>
    <w:p w14:paraId="2554157A">
      <w:pPr>
        <w:spacing w:line="240" w:lineRule="auto"/>
        <w:ind w:firstLine="640"/>
        <w:jc w:val="both"/>
      </w:pPr>
      <w:r>
        <w:rPr>
          <w:rFonts w:ascii="仿宋_GB2312" w:hAnsi="仿宋_GB2312" w:eastAsia="仿宋_GB2312"/>
          <w:b w:val="0"/>
          <w:sz w:val="32"/>
        </w:rPr>
        <w:t>一、《收入支出决算总表》</w:t>
      </w:r>
    </w:p>
    <w:p w14:paraId="55544C93">
      <w:pPr>
        <w:spacing w:line="240" w:lineRule="auto"/>
        <w:ind w:firstLine="640"/>
        <w:jc w:val="both"/>
      </w:pPr>
      <w:r>
        <w:rPr>
          <w:rFonts w:ascii="仿宋_GB2312" w:hAnsi="仿宋_GB2312" w:eastAsia="仿宋_GB2312"/>
          <w:b w:val="0"/>
          <w:sz w:val="32"/>
        </w:rPr>
        <w:t>二、《收入决算表》</w:t>
      </w:r>
    </w:p>
    <w:p w14:paraId="44F5CC27">
      <w:pPr>
        <w:spacing w:line="240" w:lineRule="auto"/>
        <w:ind w:firstLine="640"/>
        <w:jc w:val="both"/>
      </w:pPr>
      <w:r>
        <w:rPr>
          <w:rFonts w:ascii="仿宋_GB2312" w:hAnsi="仿宋_GB2312" w:eastAsia="仿宋_GB2312"/>
          <w:b w:val="0"/>
          <w:sz w:val="32"/>
        </w:rPr>
        <w:t>三、《支出决算表》</w:t>
      </w:r>
    </w:p>
    <w:p w14:paraId="2D4DD894">
      <w:pPr>
        <w:spacing w:line="240" w:lineRule="auto"/>
        <w:ind w:firstLine="640"/>
        <w:jc w:val="both"/>
      </w:pPr>
      <w:r>
        <w:rPr>
          <w:rFonts w:ascii="仿宋_GB2312" w:hAnsi="仿宋_GB2312" w:eastAsia="仿宋_GB2312"/>
          <w:b w:val="0"/>
          <w:sz w:val="32"/>
        </w:rPr>
        <w:t>四、《财政拨款收入支出决算总表》</w:t>
      </w:r>
    </w:p>
    <w:p w14:paraId="187715B1">
      <w:pPr>
        <w:spacing w:line="240" w:lineRule="auto"/>
        <w:ind w:firstLine="640"/>
        <w:jc w:val="both"/>
      </w:pPr>
      <w:r>
        <w:rPr>
          <w:rFonts w:ascii="仿宋_GB2312" w:hAnsi="仿宋_GB2312" w:eastAsia="仿宋_GB2312"/>
          <w:b w:val="0"/>
          <w:sz w:val="32"/>
        </w:rPr>
        <w:t>五、《一般公共预算财政拨款支出决算表》</w:t>
      </w:r>
    </w:p>
    <w:p w14:paraId="14D3CD56">
      <w:pPr>
        <w:spacing w:line="240" w:lineRule="auto"/>
        <w:ind w:firstLine="640"/>
        <w:jc w:val="both"/>
      </w:pPr>
      <w:r>
        <w:rPr>
          <w:rFonts w:ascii="仿宋_GB2312" w:hAnsi="仿宋_GB2312" w:eastAsia="仿宋_GB2312"/>
          <w:b w:val="0"/>
          <w:sz w:val="32"/>
        </w:rPr>
        <w:t>六、《一般公共预算财政拨款基本支出决算表》</w:t>
      </w:r>
    </w:p>
    <w:p w14:paraId="06EBA23C">
      <w:pPr>
        <w:spacing w:line="240" w:lineRule="auto"/>
        <w:ind w:firstLine="640"/>
        <w:jc w:val="both"/>
      </w:pPr>
      <w:r>
        <w:rPr>
          <w:rFonts w:ascii="仿宋_GB2312" w:hAnsi="仿宋_GB2312" w:eastAsia="仿宋_GB2312"/>
          <w:b w:val="0"/>
          <w:sz w:val="32"/>
        </w:rPr>
        <w:t>七、《政府性基金预算财政拨款收入支出决算表》</w:t>
      </w:r>
    </w:p>
    <w:p w14:paraId="2CEB8BE4">
      <w:pPr>
        <w:spacing w:line="240" w:lineRule="auto"/>
        <w:ind w:firstLine="640"/>
        <w:jc w:val="both"/>
      </w:pPr>
      <w:r>
        <w:rPr>
          <w:rFonts w:ascii="仿宋_GB2312" w:hAnsi="仿宋_GB2312" w:eastAsia="仿宋_GB2312"/>
          <w:b w:val="0"/>
          <w:sz w:val="32"/>
        </w:rPr>
        <w:t>八、《国有资本经营预算财政拨款收入支出决算表》</w:t>
      </w:r>
    </w:p>
    <w:p w14:paraId="22D39268">
      <w:pPr>
        <w:spacing w:line="240" w:lineRule="auto"/>
        <w:ind w:firstLine="640"/>
        <w:jc w:val="both"/>
      </w:pPr>
      <w:r>
        <w:rPr>
          <w:rFonts w:ascii="仿宋_GB2312" w:hAnsi="仿宋_GB2312" w:eastAsia="仿宋_GB2312"/>
          <w:b w:val="0"/>
          <w:sz w:val="32"/>
        </w:rPr>
        <w:t>九、《财政拨款“三公”经费支出决算表》</w:t>
      </w:r>
    </w:p>
    <w:p w14:paraId="42C7D1EB">
      <w:pPr>
        <w:spacing w:line="240" w:lineRule="auto"/>
        <w:ind w:firstLine="640"/>
        <w:jc w:val="both"/>
      </w:pPr>
    </w:p>
    <w:p w14:paraId="5EA8A9CB">
      <w:pPr>
        <w:spacing w:line="240" w:lineRule="auto"/>
        <w:ind w:firstLine="640"/>
        <w:jc w:val="both"/>
      </w:pPr>
    </w:p>
    <w:p w14:paraId="010AC3E5">
      <w:pPr>
        <w:spacing w:line="240" w:lineRule="auto"/>
        <w:ind w:firstLine="640"/>
        <w:jc w:val="both"/>
      </w:pPr>
    </w:p>
    <w:p w14:paraId="46162ADD">
      <w:pPr>
        <w:spacing w:line="240" w:lineRule="auto"/>
        <w:ind w:firstLine="640"/>
        <w:jc w:val="both"/>
      </w:pPr>
    </w:p>
    <w:p w14:paraId="03A2953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E8389FF-19EB-444E-83E0-73DDA9DA33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69F6C0D-6E7C-4F58-A786-FF447FC00FA8}"/>
  </w:font>
  <w:font w:name="仿宋_GB2312">
    <w:panose1 w:val="02010609030101010101"/>
    <w:charset w:val="86"/>
    <w:family w:val="modern"/>
    <w:pitch w:val="default"/>
    <w:sig w:usb0="00000001" w:usb1="080E0000" w:usb2="00000000" w:usb3="00000000" w:csb0="00040000" w:csb1="00000000"/>
    <w:embedRegular r:id="rId3" w:fontKey="{FB0E0898-644D-4ED9-A848-3B6674BBA191}"/>
  </w:font>
  <w:font w:name="楷体_GB2312">
    <w:panose1 w:val="02010609030101010101"/>
    <w:charset w:val="86"/>
    <w:family w:val="auto"/>
    <w:pitch w:val="default"/>
    <w:sig w:usb0="00000001" w:usb1="080E0000" w:usb2="00000000" w:usb3="00000000" w:csb0="00040000" w:csb1="00000000"/>
    <w:embedRegular r:id="rId4" w:fontKey="{5ED994E7-0BF1-4F15-A696-3DC95B71779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3F2BC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0A6879"/>
    <w:rsid w:val="543D17CB"/>
    <w:rsid w:val="55DA564E"/>
    <w:rsid w:val="56E07045"/>
    <w:rsid w:val="583059FA"/>
    <w:rsid w:val="587E6212"/>
    <w:rsid w:val="5AFC6609"/>
    <w:rsid w:val="5E5B12F3"/>
    <w:rsid w:val="5EFB0EF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372016"/>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4822</Words>
  <Characters>5377</Characters>
  <Lines>0</Lines>
  <Paragraphs>0</Paragraphs>
  <TotalTime>1</TotalTime>
  <ScaleCrop>false</ScaleCrop>
  <LinksUpToDate>false</LinksUpToDate>
  <CharactersWithSpaces>5387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2026-01-14T09:53:09Z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