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工作运行经费项目</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项目名称：工作运行经费项目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default" w:ascii="黑体" w:hAnsi="黑体" w:eastAsia="黑体" w:cs="仿宋_GB2312"/>
          <w:color w:val="auto"/>
          <w:kern w:val="0"/>
          <w:sz w:val="32"/>
          <w:szCs w:val="32"/>
          <w:highlight w:val="none"/>
          <w:lang w:val="en-US" w:eastAsia="zh-CN"/>
        </w:rPr>
      </w:pPr>
      <w:r>
        <w:rPr>
          <w:rFonts w:hint="eastAsia" w:ascii="黑体" w:hAnsi="黑体" w:eastAsia="黑体" w:cs="仿宋_GB2312"/>
          <w:color w:val="auto"/>
          <w:kern w:val="0"/>
          <w:sz w:val="32"/>
          <w:szCs w:val="32"/>
          <w:highlight w:val="none"/>
        </w:rPr>
        <w:t>项目单位：</w:t>
      </w:r>
      <w:r>
        <w:rPr>
          <w:rFonts w:hint="eastAsia" w:ascii="黑体" w:hAnsi="黑体" w:eastAsia="黑体" w:cs="仿宋_GB2312"/>
          <w:color w:val="auto"/>
          <w:kern w:val="0"/>
          <w:sz w:val="32"/>
          <w:szCs w:val="32"/>
          <w:highlight w:val="none"/>
          <w:lang w:val="en-US" w:eastAsia="zh-CN"/>
        </w:rPr>
        <w:t>阿图什市科学技术协会</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w:t>
      </w:r>
      <w:r>
        <w:rPr>
          <w:rFonts w:hint="eastAsia" w:ascii="黑体" w:hAnsi="黑体" w:eastAsia="黑体" w:cs="仿宋_GB2312"/>
          <w:color w:val="auto"/>
          <w:kern w:val="0"/>
          <w:sz w:val="32"/>
          <w:szCs w:val="32"/>
          <w:highlight w:val="none"/>
          <w:lang w:val="en-US" w:eastAsia="zh-CN"/>
        </w:rPr>
        <w:t>阿图什市科学技术协会</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29</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工作运行经费项目</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阿图什市科协办公室落地在顶楼，办公室房顶、供暖等硬件设施因年久失修导致的漏水现象，卫生间下水道、水管、水龙头等存在老化的情况，电梯需要定时维修维护；经本院六家单位协商决定聘请两名保安；因此六家单位需要平摊各项维修维护费、安保工资费用、水电费等费用。根据《阿图什市科协会议纪要》，2024年度计划投入4万元用于办公场所日常维修维护，保障单位日常工作正常开展，创造良好的办公环境，提高职工工作积极性，为干部职工提供良好、安全的工作环境，持续为人民群众良好服务。</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eastAsia="仿宋_GB2312" w:cs="仿宋_GB2312"/>
          <w:color w:val="auto"/>
          <w:sz w:val="32"/>
          <w:szCs w:val="30"/>
          <w:highlight w:val="none"/>
          <w:lang w:eastAsia="zh-CN"/>
        </w:rPr>
      </w:pPr>
      <w:r>
        <w:rPr>
          <w:rFonts w:hint="eastAsia" w:ascii="仿宋_GB2312" w:hAnsi="仿宋_GB2312" w:cs="仿宋_GB2312"/>
          <w:color w:val="auto"/>
          <w:sz w:val="32"/>
          <w:szCs w:val="30"/>
          <w:highlight w:val="none"/>
        </w:rPr>
        <w:t>本项目总投资4万元，用于单位日常运转、办公楼日常维修维护、发放2名保安人员工资等；通过项目的实施确保日常工作正常开展，提高工作效率</w:t>
      </w:r>
      <w:r>
        <w:rPr>
          <w:rFonts w:hint="eastAsia" w:ascii="仿宋_GB2312" w:hAnsi="仿宋_GB2312" w:cs="仿宋_GB2312"/>
          <w:color w:val="auto"/>
          <w:sz w:val="32"/>
          <w:szCs w:val="30"/>
          <w:highlight w:val="none"/>
          <w:lang w:eastAsia="zh-CN"/>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实施主体：本项目的主管部门为阿图什市科学技术协会,实施单位为阿图什市科学技术协会，主要职责：项目实施过程中严格按照实施方案进行实施并及时进行监督管理，项目实施后进行及时验收及后期管理。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4</w:t>
      </w:r>
      <w:r>
        <w:rPr>
          <w:rStyle w:val="11"/>
          <w:rFonts w:hint="eastAsia" w:ascii="仿宋_GB2312" w:hAnsi="仿宋_GB2312" w:cs="仿宋_GB2312"/>
          <w:b w:val="0"/>
          <w:bCs w:val="0"/>
          <w:color w:val="auto"/>
          <w:spacing w:val="-4"/>
          <w:sz w:val="32"/>
          <w:szCs w:val="30"/>
          <w:highlight w:val="none"/>
        </w:rPr>
        <w:t>万元，资金来源为本级部门预算资金。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3.56</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89</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保安人员工资</w:t>
      </w:r>
      <w:r>
        <w:rPr>
          <w:rStyle w:val="11"/>
          <w:rFonts w:hint="eastAsia" w:ascii="仿宋_GB2312"/>
          <w:b w:val="0"/>
          <w:color w:val="auto"/>
          <w:spacing w:val="-4"/>
          <w:sz w:val="32"/>
          <w:highlight w:val="none"/>
          <w:lang w:val="en-US" w:eastAsia="zh-CN"/>
        </w:rPr>
        <w:t>成本：</w:t>
      </w:r>
      <w:r>
        <w:rPr>
          <w:rStyle w:val="11"/>
          <w:rFonts w:hint="eastAsia" w:ascii="仿宋_GB2312"/>
          <w:b w:val="0"/>
          <w:color w:val="auto"/>
          <w:spacing w:val="-4"/>
          <w:sz w:val="32"/>
          <w:highlight w:val="none"/>
        </w:rPr>
        <w:t>0.62万元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保障单位日常运转成本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1.94万元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办公楼日常维修维护成本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1万元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年度总体目标为：本项目总投资4万元，用于单位日常运转、办公楼日常维修维护、发放2名保安人员工资等；通过项目的实施确保日常工作正常开展，提高工作效率。</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w:t>
      </w:r>
      <w:r>
        <w:rPr>
          <w:rFonts w:hint="eastAsia" w:ascii="仿宋_GB2312" w:hAnsi="仿宋_GB2312" w:cs="仿宋_GB2312"/>
          <w:color w:val="auto"/>
          <w:sz w:val="32"/>
          <w:szCs w:val="32"/>
          <w:highlight w:val="none"/>
          <w:lang w:eastAsia="zh-CN"/>
        </w:rPr>
        <w:t>和</w:t>
      </w:r>
      <w:r>
        <w:rPr>
          <w:rFonts w:hint="eastAsia" w:ascii="仿宋_GB2312" w:hAnsi="仿宋_GB2312" w:cs="仿宋_GB2312"/>
          <w:color w:val="auto"/>
          <w:sz w:val="32"/>
          <w:szCs w:val="32"/>
          <w:highlight w:val="none"/>
        </w:rPr>
        <w:t>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工作运行经费项目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w:t>
      </w:r>
      <w:r>
        <w:rPr>
          <w:rFonts w:hint="eastAsia" w:ascii="仿宋_GB2312" w:hAnsi="仿宋_GB2312" w:cs="仿宋_GB2312"/>
          <w:color w:val="auto"/>
          <w:sz w:val="32"/>
          <w:szCs w:val="32"/>
          <w:highlight w:val="none"/>
        </w:rPr>
        <w:t>结果应用</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在对202</w:t>
      </w:r>
      <w:r>
        <w:rPr>
          <w:rFonts w:ascii="仿宋_GB2312" w:hAnsi="仿宋_GB2312" w:cs="仿宋_GB2312"/>
          <w:color w:val="auto"/>
          <w:sz w:val="32"/>
          <w:highlight w:val="none"/>
        </w:rPr>
        <w:t>4</w:t>
      </w:r>
      <w:r>
        <w:rPr>
          <w:rFonts w:hint="eastAsia" w:ascii="仿宋_GB2312" w:hAnsi="仿宋_GB2312" w:cs="仿宋_GB2312"/>
          <w:color w:val="auto"/>
          <w:sz w:val="32"/>
          <w:highlight w:val="none"/>
        </w:rPr>
        <w:t>年</w:t>
      </w:r>
      <w:r>
        <w:rPr>
          <w:rFonts w:hint="eastAsia" w:ascii="仿宋_GB2312" w:hAnsi="仿宋_GB2312" w:cs="仿宋_GB2312"/>
          <w:color w:val="auto"/>
          <w:sz w:val="32"/>
          <w:highlight w:val="none"/>
          <w:lang w:eastAsia="zh-CN"/>
        </w:rPr>
        <w:t>工作运行经费项目</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工作运行经费项目</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工作运行经费项目</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工作运行经费项目</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业务</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98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1"/>
        <w:gridCol w:w="1964"/>
        <w:gridCol w:w="39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3931"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964"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965"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931" w:type="dxa"/>
            <w:vAlign w:val="center"/>
          </w:tcPr>
          <w:p>
            <w:pPr>
              <w:pStyle w:val="32"/>
              <w:keepNext w:val="0"/>
              <w:keepLines w:val="0"/>
              <w:numPr>
                <w:ilvl w:val="0"/>
                <w:numId w:val="0"/>
              </w:numPr>
              <w:spacing w:line="560" w:lineRule="exact"/>
              <w:ind w:left="0" w:leftChars="0" w:firstLine="0" w:firstLineChars="0"/>
              <w:jc w:val="center"/>
              <w:rPr>
                <w:b w:val="0"/>
                <w:bCs w:val="0"/>
                <w:color w:val="auto"/>
                <w:highlight w:val="none"/>
              </w:rPr>
            </w:pPr>
            <w:r>
              <w:rPr>
                <w:rFonts w:hint="eastAsia"/>
                <w:b w:val="0"/>
                <w:bCs w:val="0"/>
                <w:color w:val="auto"/>
                <w:highlight w:val="none"/>
              </w:rPr>
              <w:t>李爱兰</w:t>
            </w:r>
          </w:p>
        </w:tc>
        <w:tc>
          <w:tcPr>
            <w:tcW w:w="1964"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65"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931" w:type="dxa"/>
            <w:vAlign w:val="center"/>
          </w:tcPr>
          <w:p>
            <w:pPr>
              <w:pStyle w:val="32"/>
              <w:keepNext w:val="0"/>
              <w:keepLines w:val="0"/>
              <w:numPr>
                <w:ilvl w:val="0"/>
                <w:numId w:val="0"/>
              </w:numPr>
              <w:spacing w:line="560" w:lineRule="exact"/>
              <w:ind w:left="0" w:leftChars="0" w:firstLine="0" w:firstLineChars="0"/>
              <w:jc w:val="center"/>
              <w:rPr>
                <w:b w:val="0"/>
                <w:bCs w:val="0"/>
                <w:color w:val="auto"/>
                <w:highlight w:val="none"/>
              </w:rPr>
            </w:pPr>
            <w:r>
              <w:rPr>
                <w:rFonts w:hint="eastAsia"/>
                <w:b w:val="0"/>
                <w:bCs w:val="0"/>
                <w:color w:val="auto"/>
                <w:highlight w:val="none"/>
              </w:rPr>
              <w:t>吐尔地巴衣·提力瓦地</w:t>
            </w:r>
          </w:p>
        </w:tc>
        <w:tc>
          <w:tcPr>
            <w:tcW w:w="1964"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65"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931" w:type="dxa"/>
            <w:vAlign w:val="center"/>
          </w:tcPr>
          <w:p>
            <w:pPr>
              <w:pStyle w:val="32"/>
              <w:keepNext w:val="0"/>
              <w:keepLines w:val="0"/>
              <w:numPr>
                <w:ilvl w:val="0"/>
                <w:numId w:val="0"/>
              </w:numPr>
              <w:spacing w:line="560" w:lineRule="exact"/>
              <w:ind w:left="0" w:leftChars="0" w:firstLine="0" w:firstLineChars="0"/>
              <w:jc w:val="center"/>
              <w:rPr>
                <w:b w:val="0"/>
                <w:bCs w:val="0"/>
                <w:color w:val="auto"/>
                <w:highlight w:val="none"/>
              </w:rPr>
            </w:pPr>
            <w:r>
              <w:rPr>
                <w:rFonts w:hint="eastAsia"/>
                <w:b w:val="0"/>
                <w:bCs w:val="0"/>
                <w:color w:val="auto"/>
                <w:highlight w:val="none"/>
              </w:rPr>
              <w:t>阿吉买买提·阿布都热西提</w:t>
            </w:r>
          </w:p>
        </w:tc>
        <w:tc>
          <w:tcPr>
            <w:tcW w:w="1964"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65"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7"/>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工作运行经费项目的内容和特征制定了评价指标体系及评价标准以及评价实施方案，修正并确定所需资料清单，最终确定实施方案。</w:t>
      </w:r>
    </w:p>
    <w:p>
      <w:pPr>
        <w:pStyle w:val="27"/>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7"/>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采集，了解项目设置背景及资金使用等情况。</w:t>
      </w:r>
    </w:p>
    <w:p>
      <w:pPr>
        <w:pStyle w:val="27"/>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7"/>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7"/>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7"/>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7"/>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组织管理、产出与效益效果。在此基础上，以相关的项目数据为基础，综合运用不同的评价方法，结合评价标准和评分规则，工作运行经费项目综合得分为98.37分，</w:t>
      </w:r>
      <w:r>
        <w:rPr>
          <w:rFonts w:hint="eastAsia" w:ascii="仿宋_GB2312" w:hAnsi="Cambria" w:eastAsia="仿宋_GB2312"/>
          <w:color w:val="auto"/>
          <w:sz w:val="32"/>
          <w:szCs w:val="32"/>
          <w:highlight w:val="none"/>
        </w:rPr>
        <w:t>评价结果为优。</w:t>
      </w:r>
    </w:p>
    <w:p>
      <w:pPr>
        <w:pStyle w:val="27"/>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ascii="仿宋_GB2312" w:hAnsi="仿宋_GB2312" w:eastAsia="仿宋_GB2312" w:cs="仿宋_GB2312"/>
          <w:b/>
          <w:color w:val="auto"/>
          <w:sz w:val="32"/>
          <w:szCs w:val="32"/>
          <w:highlight w:val="none"/>
          <w:lang w:val="en-US" w:eastAsia="zh-CN" w:bidi="ar-SA"/>
        </w:rPr>
        <w:t>4</w:t>
      </w:r>
      <w:r>
        <w:rPr>
          <w:rFonts w:hint="eastAsia" w:ascii="仿宋_GB2312" w:hAnsi="仿宋_GB2312" w:eastAsia="仿宋_GB2312" w:cs="仿宋_GB2312"/>
          <w:b/>
          <w:color w:val="auto"/>
          <w:sz w:val="32"/>
          <w:szCs w:val="32"/>
          <w:highlight w:val="none"/>
          <w:lang w:val="en-US" w:eastAsia="zh-CN" w:bidi="ar-SA"/>
        </w:rPr>
        <w:t>年工作运行经费项目评价得分情况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596" w:hRule="exact"/>
          <w:jc w:val="center"/>
        </w:trPr>
        <w:tc>
          <w:tcPr>
            <w:tcW w:w="1447"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3"/>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585" w:hRule="exact"/>
          <w:jc w:val="center"/>
        </w:trPr>
        <w:tc>
          <w:tcPr>
            <w:tcW w:w="1447" w:type="dxa"/>
            <w:tcBorders>
              <w:top w:val="single" w:color="auto" w:sz="4" w:space="0"/>
              <w:left w:val="single" w:color="auto" w:sz="4" w:space="0"/>
            </w:tcBorders>
            <w:shd w:val="clear" w:color="auto" w:fill="FFFFFF"/>
            <w:vAlign w:val="center"/>
          </w:tcPr>
          <w:p>
            <w:pPr>
              <w:pStyle w:val="33"/>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16.45</w:t>
            </w:r>
          </w:p>
        </w:tc>
        <w:tc>
          <w:tcPr>
            <w:tcW w:w="3866" w:type="dxa"/>
            <w:tcBorders>
              <w:top w:val="single" w:color="auto" w:sz="4" w:space="0"/>
              <w:left w:val="single" w:color="auto" w:sz="4" w:space="0"/>
              <w:right w:val="single" w:color="auto" w:sz="4" w:space="0"/>
            </w:tcBorders>
            <w:shd w:val="clear" w:color="auto" w:fill="FFFFFF"/>
            <w:vAlign w:val="bottom"/>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预算执行率扣0.55分</w:t>
            </w:r>
          </w:p>
        </w:tc>
      </w:tr>
      <w:tr>
        <w:tblPrEx>
          <w:tblLayout w:type="fixed"/>
          <w:tblCellMar>
            <w:top w:w="0" w:type="dxa"/>
            <w:left w:w="10" w:type="dxa"/>
            <w:bottom w:w="0" w:type="dxa"/>
            <w:right w:w="10" w:type="dxa"/>
          </w:tblCellMar>
        </w:tblPrEx>
        <w:trPr>
          <w:trHeight w:val="607" w:hRule="exact"/>
          <w:jc w:val="center"/>
        </w:trPr>
        <w:tc>
          <w:tcPr>
            <w:tcW w:w="1447"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28.92</w:t>
            </w:r>
          </w:p>
        </w:tc>
        <w:tc>
          <w:tcPr>
            <w:tcW w:w="3866" w:type="dxa"/>
            <w:tcBorders>
              <w:top w:val="single" w:color="auto" w:sz="4" w:space="0"/>
              <w:left w:val="single" w:color="auto" w:sz="4" w:space="0"/>
              <w:right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成本指标扣1.08分</w:t>
            </w:r>
          </w:p>
        </w:tc>
      </w:tr>
      <w:tr>
        <w:tblPrEx>
          <w:tblLayout w:type="fixed"/>
          <w:tblCellMar>
            <w:top w:w="0" w:type="dxa"/>
            <w:left w:w="10" w:type="dxa"/>
            <w:bottom w:w="0" w:type="dxa"/>
            <w:right w:w="10" w:type="dxa"/>
          </w:tblCellMar>
        </w:tblPrEx>
        <w:trPr>
          <w:trHeight w:val="525"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578"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98.37</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工作运行经费项目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年已完成保安人数2人</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保障单位日常运转期限12个月</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办公楼日常维修维护期限12个月等工作；通过该项目的实施确保日常工作正常开展，提高工作效率。</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工作运行经费项目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3.56</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98.37</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工作运行经费项目</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工作运行经费项目</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工作运行经费项目</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工作运行经费</w:t>
      </w:r>
      <w:r>
        <w:rPr>
          <w:rFonts w:hint="eastAsia" w:ascii="仿宋_GB2312" w:hAnsi="仿宋_GB2312" w:cs="仿宋_GB2312"/>
          <w:color w:val="auto"/>
          <w:sz w:val="32"/>
          <w:szCs w:val="32"/>
          <w:highlight w:val="none"/>
          <w:lang w:val="en-US" w:eastAsia="zh-CN"/>
        </w:rPr>
        <w:t>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财政资金管理制度，按照不定期检查与项目周期检查相结合的方式，对财政资金的使用情况进行监督检查。重点督查专项资金的使用进度，资金落实情况，对发现的问题，采取措施及时纠正、强化管理，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工作运行经费项目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数量指标为保安人数，预期指标值是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2人，实际完成值是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2人，指标达到预期目标。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数量指标为保障单位日常运转期限，预期指标值是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数量指标为办公楼日常维修维护期限，预期指标值是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质量指标为工作质量达标率，预期指标值是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时效指标为项目结束时间，预期指标值是2024年12月，实际完成值是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成本指标为保安人员工资，预期指标值是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0.62万元，实际完成值是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0.62万元，指标达到预期目标。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成本指标为保障单位日常运转成本，预期指标值是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2.38万元，实际完成值是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1.94万元，指标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达到预期目标。原因：年初预算不够精准，根据实际产生的费用进行支出，待提高数据精准度；措施：今后做好预算编制工作，提高预算执行率，减少偏差。</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成本指标为办公楼日常维修维护成本，预期指标值是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1万元，指标达到预期目标。</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指标为保障单位日常工作正常运转，预期指标值是有效保障，实际完成值是有效保障，指标达到预期目标。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满意度指标为保安人员满意度，预期指标值是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2"/>
          <w:szCs w:val="32"/>
          <w:highlight w:val="none"/>
        </w:rPr>
      </w:pPr>
      <w:r>
        <w:rPr>
          <w:rFonts w:hint="eastAsia"/>
          <w:color w:val="auto"/>
          <w:sz w:val="32"/>
          <w:highlight w:val="none"/>
        </w:rPr>
        <w:t>本项目全年预算数</w:t>
      </w:r>
      <w:r>
        <w:rPr>
          <w:rFonts w:hint="eastAsia"/>
          <w:color w:val="auto"/>
          <w:sz w:val="32"/>
          <w:highlight w:val="none"/>
          <w:lang w:val="en-US" w:eastAsia="zh-CN"/>
        </w:rPr>
        <w:t>4</w:t>
      </w:r>
      <w:r>
        <w:rPr>
          <w:rFonts w:hint="eastAsia"/>
          <w:color w:val="auto"/>
          <w:sz w:val="32"/>
          <w:highlight w:val="none"/>
        </w:rPr>
        <w:t>万元，执行数</w:t>
      </w:r>
      <w:r>
        <w:rPr>
          <w:rFonts w:hint="eastAsia"/>
          <w:color w:val="auto"/>
          <w:sz w:val="32"/>
          <w:highlight w:val="none"/>
          <w:lang w:val="en-US" w:eastAsia="zh-CN"/>
        </w:rPr>
        <w:t>3.56</w:t>
      </w:r>
      <w:r>
        <w:rPr>
          <w:rFonts w:hint="eastAsia"/>
          <w:color w:val="auto"/>
          <w:sz w:val="32"/>
          <w:highlight w:val="none"/>
        </w:rPr>
        <w:t>万元，执行率</w:t>
      </w:r>
      <w:r>
        <w:rPr>
          <w:rFonts w:hint="eastAsia"/>
          <w:color w:val="auto"/>
          <w:sz w:val="32"/>
          <w:highlight w:val="none"/>
          <w:lang w:val="en-US" w:eastAsia="zh-CN"/>
        </w:rPr>
        <w:t>89</w:t>
      </w:r>
      <w:r>
        <w:rPr>
          <w:rFonts w:hint="eastAsia"/>
          <w:color w:val="auto"/>
          <w:sz w:val="32"/>
          <w:highlight w:val="none"/>
        </w:rPr>
        <w:t>%，绩效指标完成率</w:t>
      </w:r>
      <w:r>
        <w:rPr>
          <w:rFonts w:hint="eastAsia"/>
          <w:color w:val="auto"/>
          <w:sz w:val="32"/>
          <w:highlight w:val="none"/>
          <w:lang w:val="en-US" w:eastAsia="zh-CN"/>
        </w:rPr>
        <w:t>98.2</w:t>
      </w:r>
      <w:r>
        <w:rPr>
          <w:rFonts w:hint="eastAsia"/>
          <w:color w:val="auto"/>
          <w:sz w:val="32"/>
          <w:highlight w:val="none"/>
        </w:rPr>
        <w:t>%，偏差率</w:t>
      </w:r>
      <w:r>
        <w:rPr>
          <w:rFonts w:hint="eastAsia"/>
          <w:color w:val="auto"/>
          <w:sz w:val="32"/>
          <w:highlight w:val="none"/>
          <w:lang w:val="en-US" w:eastAsia="zh-CN"/>
        </w:rPr>
        <w:t>9.2</w:t>
      </w:r>
      <w:r>
        <w:rPr>
          <w:rFonts w:hint="eastAsia"/>
          <w:color w:val="auto"/>
          <w:sz w:val="32"/>
          <w:highlight w:val="none"/>
        </w:rPr>
        <w:t>%。偏差原因：项目年初预算编制不够精准，实际产生的费用低于年初计划，待提高数据精准度。</w:t>
      </w:r>
    </w:p>
    <w:p>
      <w:pPr>
        <w:pStyle w:val="32"/>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1"/>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1"/>
        <w:keepNext w:val="0"/>
        <w:keepLines w:val="0"/>
        <w:spacing w:before="0" w:after="0" w:line="560" w:lineRule="exact"/>
        <w:ind w:firstLine="640"/>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w:t>
      </w:r>
      <w:bookmarkStart w:id="0" w:name="_GoBack"/>
      <w:bookmarkEnd w:id="0"/>
      <w:r>
        <w:rPr>
          <w:rFonts w:hint="eastAsia" w:ascii="仿宋_GB2312" w:hAnsi="仿宋" w:eastAsia="仿宋_GB2312" w:cs="宋体"/>
          <w:b w:val="0"/>
          <w:color w:val="auto"/>
          <w:kern w:val="2"/>
          <w:highlight w:val="none"/>
        </w:rPr>
        <w:t>同时及时完善资料。</w:t>
      </w:r>
    </w:p>
    <w:p>
      <w:pPr>
        <w:pStyle w:val="32"/>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1"/>
        <w:keepNext w:val="0"/>
        <w:keepLines w:val="0"/>
        <w:spacing w:before="0" w:after="0" w:line="560" w:lineRule="exact"/>
        <w:ind w:firstLine="640"/>
        <w:rPr>
          <w:rFonts w:hint="eastAsia" w:ascii="仿宋_GB2312" w:hAnsi="仿宋" w:eastAsia="仿宋_GB2312" w:cs="宋体"/>
          <w:b w:val="0"/>
          <w:color w:val="auto"/>
          <w:kern w:val="2"/>
          <w:highlight w:val="none"/>
          <w:lang w:val="en-US" w:eastAsia="zh-CN"/>
        </w:rPr>
      </w:pPr>
      <w:r>
        <w:rPr>
          <w:rFonts w:hint="eastAsia" w:ascii="仿宋_GB2312" w:hAnsi="仿宋" w:eastAsia="仿宋_GB2312" w:cs="宋体"/>
          <w:b w:val="0"/>
          <w:color w:val="auto"/>
          <w:kern w:val="2"/>
          <w:highlight w:val="none"/>
          <w:lang w:val="en-US" w:eastAsia="zh-CN"/>
        </w:rPr>
        <w:t>无。</w:t>
      </w: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4.45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5.92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98.37</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CE985"/>
    <w:multiLevelType w:val="multilevel"/>
    <w:tmpl w:val="68CCE985"/>
    <w:lvl w:ilvl="0" w:tentative="0">
      <w:start w:val="1"/>
      <w:numFmt w:val="chineseCountingThousand"/>
      <w:pStyle w:val="32"/>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CE991"/>
    <w:multiLevelType w:val="singleLevel"/>
    <w:tmpl w:val="68CCE991"/>
    <w:lvl w:ilvl="0" w:tentative="0">
      <w:start w:val="3"/>
      <w:numFmt w:val="decimal"/>
      <w:suff w:val="nothing"/>
      <w:lvlText w:val="%1．"/>
      <w:lvlJc w:val="left"/>
      <w:rPr>
        <w:rFonts w:hint="default"/>
        <w:b/>
        <w:bCs/>
        <w:color w:val="auto"/>
      </w:rPr>
    </w:lvl>
  </w:abstractNum>
  <w:abstractNum w:abstractNumId="2">
    <w:nsid w:val="68CCE99C"/>
    <w:multiLevelType w:val="singleLevel"/>
    <w:tmpl w:val="68CCE99C"/>
    <w:lvl w:ilvl="0" w:tentative="0">
      <w:start w:val="2"/>
      <w:numFmt w:val="decimal"/>
      <w:suff w:val="nothing"/>
      <w:lvlText w:val="%1．"/>
      <w:lvlJc w:val="left"/>
      <w:rPr>
        <w:rFonts w:hint="default"/>
        <w:b/>
        <w:bC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04FF35DC"/>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uiPriority w:val="0"/>
    <w:rPr>
      <w:sz w:val="21"/>
      <w:szCs w:val="21"/>
    </w:rPr>
  </w:style>
  <w:style w:type="character" w:customStyle="1" w:styleId="17">
    <w:name w:val="标题 1 字符"/>
    <w:link w:val="3"/>
    <w:uiPriority w:val="0"/>
    <w:rPr>
      <w:rFonts w:eastAsia="仿宋_GB2312"/>
      <w:b/>
      <w:bCs/>
      <w:kern w:val="44"/>
      <w:sz w:val="44"/>
      <w:szCs w:val="44"/>
    </w:rPr>
  </w:style>
  <w:style w:type="character" w:customStyle="1" w:styleId="18">
    <w:name w:val="标题 2 字符"/>
    <w:link w:val="4"/>
    <w:semiHidden/>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Body text|1_"/>
    <w:link w:val="27"/>
    <w:uiPriority w:val="0"/>
    <w:rPr>
      <w:rFonts w:ascii="宋体" w:hAnsi="宋体" w:cs="宋体"/>
      <w:kern w:val="2"/>
      <w:sz w:val="30"/>
      <w:szCs w:val="30"/>
      <w:lang w:val="zh-TW" w:eastAsia="zh-TW" w:bidi="zh-TW"/>
    </w:rPr>
  </w:style>
  <w:style w:type="paragraph" w:customStyle="1" w:styleId="27">
    <w:name w:val="Body text|1"/>
    <w:basedOn w:val="1"/>
    <w:link w:val="26"/>
    <w:qFormat/>
    <w:uiPriority w:val="0"/>
    <w:pPr>
      <w:spacing w:line="420" w:lineRule="auto"/>
      <w:ind w:firstLine="400"/>
    </w:pPr>
    <w:rPr>
      <w:rFonts w:ascii="宋体" w:hAnsi="宋体" w:eastAsia="宋体" w:cs="宋体"/>
      <w:szCs w:val="30"/>
      <w:lang w:val="zh-TW" w:eastAsia="zh-TW" w:bidi="zh-TW"/>
    </w:rPr>
  </w:style>
  <w:style w:type="character" w:customStyle="1" w:styleId="28">
    <w:name w:val="闻政-正文三级标题 Char"/>
    <w:link w:val="29"/>
    <w:uiPriority w:val="3"/>
    <w:rPr>
      <w:rFonts w:eastAsia="仿宋_GB2312"/>
      <w:b/>
      <w:snapToGrid w:val="0"/>
      <w:sz w:val="28"/>
      <w:szCs w:val="28"/>
    </w:rPr>
  </w:style>
  <w:style w:type="paragraph" w:customStyle="1" w:styleId="29">
    <w:name w:val="闻政-正文三级标题"/>
    <w:basedOn w:val="1"/>
    <w:next w:val="1"/>
    <w:link w:val="28"/>
    <w:qFormat/>
    <w:uiPriority w:val="3"/>
    <w:pPr>
      <w:widowControl/>
      <w:spacing w:before="120" w:after="60" w:line="500" w:lineRule="exact"/>
      <w:ind w:left="200" w:leftChars="200"/>
    </w:pPr>
    <w:rPr>
      <w:b/>
      <w:snapToGrid w:val="0"/>
      <w:kern w:val="0"/>
      <w:sz w:val="28"/>
      <w:szCs w:val="28"/>
    </w:rPr>
  </w:style>
  <w:style w:type="paragraph" w:customStyle="1" w:styleId="30">
    <w:name w:val="List Paragraph"/>
    <w:basedOn w:val="1"/>
    <w:qFormat/>
    <w:uiPriority w:val="34"/>
    <w:pPr>
      <w:ind w:firstLine="420" w:firstLineChars="200"/>
    </w:pPr>
    <w:rPr>
      <w:rFonts w:ascii="Calibri" w:hAnsi="Calibri" w:eastAsia="宋体" w:cs="Times New Roman"/>
      <w:sz w:val="21"/>
      <w:szCs w:val="21"/>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3">
    <w:name w:val="Other|1"/>
    <w:basedOn w:val="1"/>
    <w:qFormat/>
    <w:uiPriority w:val="0"/>
    <w:pPr>
      <w:spacing w:line="420" w:lineRule="auto"/>
      <w:ind w:firstLine="400"/>
    </w:pPr>
    <w:rPr>
      <w:rFonts w:ascii="宋体" w:hAnsi="宋体" w:eastAsia="宋体" w:cs="宋体"/>
      <w:szCs w:val="30"/>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A980E21C763046CB91C5F6CE9A4697C0_13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a8b710-3e9a-4ad3-8336-c34ea1bfc028}">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1</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2025-09-19T05:25:56Z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A980E21C763046CB91C5F6CE9A4697C0_13</vt:lpwstr>
  </property>
  <property fmtid="{D5CDD505-2E9C-101B-9397-08002B2CF9AE}" pid="4" name="KSOTemplateDocerSaveRecord">
    <vt:lpwstr>eyJoZGlkIjoiYzZkNzQ4ZWFiZmQ4NTRhOWRkZTk3YTMwMjlmMmZhYmUiLCJ1c2VySWQiOiI1NzgxMjU4NDIifQ_x003D__x003D_</vt:lpwstr>
  </property>
</Properties>
</file>