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2024年自治区“基层科普行动计划”资金项目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项目名称：2024年自治区“基层科普行动计划”资金项目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default" w:ascii="黑体" w:hAnsi="黑体" w:eastAsia="黑体" w:cs="仿宋_GB2312"/>
          <w:color w:val="auto"/>
          <w:kern w:val="0"/>
          <w:sz w:val="32"/>
          <w:szCs w:val="32"/>
          <w:highlight w:val="none"/>
          <w:lang w:val="en-US" w:eastAsia="zh-CN"/>
        </w:rPr>
      </w:pPr>
      <w:r>
        <w:rPr>
          <w:rFonts w:hint="eastAsia" w:ascii="黑体" w:hAnsi="黑体" w:eastAsia="黑体" w:cs="仿宋_GB2312"/>
          <w:color w:val="auto"/>
          <w:kern w:val="0"/>
          <w:sz w:val="32"/>
          <w:szCs w:val="32"/>
          <w:highlight w:val="none"/>
        </w:rPr>
        <w:t>项目单位：</w:t>
      </w:r>
      <w:r>
        <w:rPr>
          <w:rFonts w:hint="eastAsia" w:ascii="黑体" w:hAnsi="黑体" w:eastAsia="黑体" w:cs="仿宋_GB2312"/>
          <w:color w:val="auto"/>
          <w:kern w:val="0"/>
          <w:sz w:val="32"/>
          <w:szCs w:val="32"/>
          <w:highlight w:val="none"/>
          <w:lang w:val="en-US" w:eastAsia="zh-CN"/>
        </w:rPr>
        <w:t>阿图什市科学技术协会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w:t>
      </w:r>
      <w:r>
        <w:rPr>
          <w:rFonts w:hint="eastAsia" w:ascii="黑体" w:hAnsi="黑体" w:eastAsia="黑体" w:cs="仿宋_GB2312"/>
          <w:color w:val="auto"/>
          <w:kern w:val="0"/>
          <w:sz w:val="32"/>
          <w:szCs w:val="32"/>
          <w:highlight w:val="none"/>
          <w:lang w:val="en-US" w:eastAsia="zh-CN"/>
        </w:rPr>
        <w:t>阿图什市科学技术协会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29</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2024年自治区“基层科普行动计划”资金项目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为了充分调动全社会深入基层、贴近实际、贴近生活、贴近群众开展科普工作的积极性和创造性，引领激发广大群众学科学、用科学的积极性和创造性，中国科协、财政部决定开始联合实施“基层科普行动计划”。计划将通过“以点带面、榜样示范”的方式，在全国评比、筛选、表彰一批有突出贡献的、有较强区域示范作用的、辐射性强的基层科普先进集体和个人。中央财政采用“以奖代补、奖补结合”的方式给予资金支持，带动更多的农民提高科学文化素养，掌握生产劳动技能，引导广大农民建立科学、文明、健康的生产和生活方式；提升社区居民科学文化素质，推动社区文化建设，教育和引领居民自觉抵制封建迷信和愚昧落后习俗，为社会主义和谐社会建设夯实思想文化基础。</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w:t>
      </w:r>
      <w:r>
        <w:rPr>
          <w:rFonts w:hint="eastAsia" w:ascii="仿宋_GB2312" w:hAnsi="仿宋_GB2312" w:cs="仿宋_GB2312"/>
          <w:color w:val="auto"/>
          <w:sz w:val="32"/>
          <w:szCs w:val="30"/>
          <w:highlight w:val="none"/>
          <w:lang w:eastAsia="zh-CN"/>
        </w:rPr>
        <w:t>关于</w:t>
      </w:r>
      <w:r>
        <w:rPr>
          <w:rFonts w:hint="eastAsia" w:ascii="仿宋_GB2312" w:hAnsi="仿宋_GB2312" w:cs="仿宋_GB2312"/>
          <w:color w:val="auto"/>
          <w:sz w:val="32"/>
          <w:szCs w:val="30"/>
          <w:highlight w:val="none"/>
        </w:rPr>
        <w:t>提前下达2024年自治区“基层科普行动计划”资金预算的通知》克财教【2023】42号文件，下达资金6万元，用于建设村级科普馆数量1个；通过项目的实施，提高基层各族群众的科学素质和依靠科技增收致富的能力。</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实施主体：本项目的主管部门为阿图什市科学技术协会,实施单位为阿图什市科学技术协会，主要职责：项目实施过程中严格按照实施方案进行实施并及时进行监督管理，项目实施后进行及时验收及后期管理。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6</w:t>
      </w:r>
      <w:r>
        <w:rPr>
          <w:rStyle w:val="11"/>
          <w:rFonts w:hint="eastAsia" w:ascii="仿宋_GB2312" w:hAnsi="仿宋_GB2312" w:cs="仿宋_GB2312"/>
          <w:b w:val="0"/>
          <w:bCs w:val="0"/>
          <w:color w:val="auto"/>
          <w:spacing w:val="-4"/>
          <w:sz w:val="32"/>
          <w:szCs w:val="30"/>
          <w:highlight w:val="none"/>
        </w:rPr>
        <w:t>万元，资金来源为自治区专项资金。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6</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“基层科普行动计划”</w:t>
      </w:r>
      <w:r>
        <w:rPr>
          <w:rStyle w:val="11"/>
          <w:rFonts w:hint="eastAsia" w:ascii="仿宋_GB2312"/>
          <w:b w:val="0"/>
          <w:color w:val="auto"/>
          <w:spacing w:val="-4"/>
          <w:sz w:val="32"/>
          <w:highlight w:val="none"/>
          <w:lang w:val="en-US" w:eastAsia="zh-CN"/>
        </w:rPr>
        <w:t>成本：6万元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w:t>
      </w:r>
      <w:r>
        <w:rPr>
          <w:rFonts w:hint="eastAsia" w:ascii="仿宋_GB2312" w:hAnsi="仿宋_GB2312" w:cs="仿宋_GB2312"/>
          <w:color w:val="auto"/>
          <w:sz w:val="32"/>
          <w:highlight w:val="none"/>
          <w:lang w:eastAsia="zh-CN"/>
        </w:rPr>
        <w:t>关于</w:t>
      </w:r>
      <w:r>
        <w:rPr>
          <w:rFonts w:hint="eastAsia" w:ascii="仿宋_GB2312" w:hAnsi="仿宋_GB2312" w:cs="仿宋_GB2312"/>
          <w:color w:val="auto"/>
          <w:sz w:val="32"/>
          <w:highlight w:val="none"/>
        </w:rPr>
        <w:t>提前下达2024年自治区“基层科普行动计划”资金预算的通知》克财教【2023】42号文件，下达资金6万元，用于建设村级科普馆数量1个；通过项目的实施，提高基层各族群众的科学素质和依靠科技增收致富的能力。</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w:t>
      </w:r>
      <w:r>
        <w:rPr>
          <w:rFonts w:hint="eastAsia" w:ascii="仿宋_GB2312" w:hAnsi="仿宋_GB2312" w:cs="仿宋_GB2312"/>
          <w:color w:val="auto"/>
          <w:sz w:val="32"/>
          <w:szCs w:val="32"/>
          <w:highlight w:val="none"/>
          <w:lang w:val="en-US" w:eastAsia="zh-CN"/>
        </w:rPr>
        <w:t xml:space="preserve"> </w:t>
      </w:r>
      <w:r>
        <w:rPr>
          <w:rFonts w:hint="eastAsia" w:ascii="仿宋_GB2312" w:hAnsi="仿宋_GB2312" w:cs="仿宋_GB2312"/>
          <w:color w:val="auto"/>
          <w:sz w:val="32"/>
          <w:szCs w:val="32"/>
          <w:highlight w:val="none"/>
        </w:rPr>
        <w:t>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2024年自治区“基层科普行动计划”资金项目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（3）激励约束。绩效评价结果应用</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w:t>
      </w:r>
      <w:r>
        <w:rPr>
          <w:rFonts w:hint="eastAsia" w:ascii="仿宋_GB2312" w:hAnsi="仿宋_GB2312" w:cs="仿宋_GB2312"/>
          <w:color w:val="auto"/>
          <w:sz w:val="32"/>
          <w:highlight w:val="none"/>
          <w:lang w:eastAsia="zh-CN"/>
        </w:rPr>
        <w:t>2024年自治区“基层科普行动计划”资金项目</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2024年自治区“基层科普行动计划”资金项目</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2024年自治区“基层科普行动计划”资金项目</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2024年自治区“基层科普行动计划”资金项目</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政策</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0"/>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96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1898"/>
        <w:gridCol w:w="3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4025"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98"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752"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4025"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李爱兰</w:t>
            </w:r>
          </w:p>
        </w:tc>
        <w:tc>
          <w:tcPr>
            <w:tcW w:w="189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752"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4025"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吐尔地巴衣·提力瓦地</w:t>
            </w:r>
          </w:p>
        </w:tc>
        <w:tc>
          <w:tcPr>
            <w:tcW w:w="189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752"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4025"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阿吉买买提·阿布都热西提</w:t>
            </w:r>
          </w:p>
        </w:tc>
        <w:tc>
          <w:tcPr>
            <w:tcW w:w="189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752"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自治区“基层科普行动计划”资金项目的内容和特征制定了评价指标体系及评价标准以及评价实施方案，修正并确定所需资料清单，最终确定实施方案。</w:t>
      </w:r>
    </w:p>
    <w:p>
      <w:pPr>
        <w:pStyle w:val="25"/>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5"/>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5"/>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5"/>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5"/>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5"/>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5"/>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组织管理、产出与效益效果。在此基础上，以相关的项目数据为基础，综合运用不同的评价方法，结合评价标准和评分规则，2024年自治区“基层科普行动计划”资金项目综合得分为100分，</w:t>
      </w:r>
      <w:r>
        <w:rPr>
          <w:rFonts w:hint="eastAsia" w:ascii="仿宋_GB2312" w:hAnsi="Cambria" w:eastAsia="仿宋_GB2312"/>
          <w:color w:val="auto"/>
          <w:sz w:val="32"/>
          <w:szCs w:val="32"/>
          <w:highlight w:val="none"/>
        </w:rPr>
        <w:t>评价结果为优。</w:t>
      </w:r>
    </w:p>
    <w:p>
      <w:pPr>
        <w:pStyle w:val="25"/>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2024年自治区“基层科普行动计划”资金项目评价得分情况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1"/>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shd w:val="clear" w:color="auto" w:fill="FFFFFF"/>
            <w:vAlign w:val="bottom"/>
          </w:tcPr>
          <w:p>
            <w:pPr>
              <w:pStyle w:val="31"/>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shd w:val="clear" w:color="auto" w:fill="FFFFFF"/>
            <w:vAlign w:val="center"/>
          </w:tcPr>
          <w:p>
            <w:pPr>
              <w:pStyle w:val="31"/>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2024年自治区“基层科普行动计划”资金项目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年已完成建设村级科普馆数量1个等工作；通过该项目的实施提高基层各族群众的科学素质和依靠科技增收致富的能力。</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2024年自治区“基层科普行动计划”资金项目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6</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7"/>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w:t>
      </w:r>
      <w:r>
        <w:rPr>
          <w:rFonts w:hint="eastAsia" w:ascii="仿宋_GB2312" w:hAnsi="仿宋_GB2312" w:cs="仿宋_GB2312"/>
          <w:color w:val="auto"/>
          <w:sz w:val="32"/>
          <w:szCs w:val="32"/>
          <w:highlight w:val="none"/>
          <w:lang w:eastAsia="zh-CN"/>
        </w:rPr>
        <w:t>年自治区“基层科普行动计划”资金项目</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2024年自治区“基层科普行动计划”资金项目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w:t>
      </w:r>
      <w:bookmarkStart w:id="0" w:name="_GoBack"/>
      <w:r>
        <w:rPr>
          <w:rFonts w:hint="eastAsia" w:ascii="仿宋_GB2312" w:hAnsi="仿宋_GB2312" w:cs="仿宋_GB2312"/>
          <w:color w:val="auto"/>
          <w:sz w:val="32"/>
          <w:szCs w:val="32"/>
          <w:highlight w:val="none"/>
        </w:rPr>
        <w:t>监管</w:t>
      </w:r>
      <w:bookmarkEnd w:id="0"/>
      <w:r>
        <w:rPr>
          <w:rFonts w:hint="eastAsia" w:ascii="仿宋_GB2312" w:hAnsi="仿宋_GB2312" w:cs="仿宋_GB2312"/>
          <w:color w:val="auto"/>
          <w:sz w:val="32"/>
          <w:szCs w:val="32"/>
          <w:highlight w:val="none"/>
        </w:rPr>
        <w:t>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2024年自治区“基层科普行动计划”资金项目</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“基层科普行动计划”资金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2024年自治区“基层科普行动计划”资金项目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数量指标为建设村级科普馆数量，预期指标值是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1个，指标达到预期目标。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质量指标为项目验收合格率，预期指标值是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质量指标为资金使用合规率，预期指标值是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时效指标为项目结束时间，预期指标值是2024年12月，实际完成值是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时效指标为资金下达及时率，预期指标值是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ascii="仿宋_GB2312"/>
          <w:color w:val="auto"/>
          <w:sz w:val="32"/>
          <w:szCs w:val="32"/>
          <w:highlight w:val="none"/>
        </w:rPr>
      </w:pPr>
      <w:r>
        <w:rPr>
          <w:rFonts w:hint="eastAsia" w:ascii="仿宋_GB2312"/>
          <w:color w:val="auto"/>
          <w:sz w:val="32"/>
          <w:szCs w:val="32"/>
          <w:highlight w:val="none"/>
          <w:lang w:val="en-US" w:eastAsia="zh-CN"/>
        </w:rPr>
        <w:t>无。</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指标为公民科学素质比例不断提高，预期指标值是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12%，实际完成值是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12%，指标达到预期目标。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满意度指标为受益群众满意度，预期指标值是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6"/>
          <w:szCs w:val="32"/>
          <w:highlight w:val="none"/>
        </w:rPr>
      </w:pPr>
      <w:r>
        <w:rPr>
          <w:rFonts w:hint="eastAsia"/>
          <w:color w:val="auto"/>
          <w:sz w:val="32"/>
          <w:highlight w:val="none"/>
          <w:lang w:val="en-US" w:eastAsia="zh-CN"/>
        </w:rPr>
        <w:t>无。</w:t>
      </w:r>
    </w:p>
    <w:p>
      <w:pPr>
        <w:pStyle w:val="30"/>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0"/>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2"/>
        <w:keepNext w:val="0"/>
        <w:keepLines w:val="0"/>
        <w:spacing w:before="0" w:after="0" w:line="560" w:lineRule="exact"/>
        <w:ind w:firstLine="640"/>
        <w:rPr>
          <w:rFonts w:hint="eastAsia"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100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CE923"/>
    <w:multiLevelType w:val="multilevel"/>
    <w:tmpl w:val="68CCE923"/>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CE92E"/>
    <w:multiLevelType w:val="singleLevel"/>
    <w:tmpl w:val="68CCE92E"/>
    <w:lvl w:ilvl="0" w:tentative="0">
      <w:start w:val="3"/>
      <w:numFmt w:val="decimal"/>
      <w:suff w:val="nothing"/>
      <w:lvlText w:val="%1．"/>
      <w:lvlJc w:val="left"/>
      <w:rPr>
        <w:rFonts w:hint="default"/>
        <w:b/>
        <w:bCs/>
        <w:color w:val="auto"/>
      </w:rPr>
    </w:lvl>
  </w:abstractNum>
  <w:abstractNum w:abstractNumId="2">
    <w:nsid w:val="68CCE939"/>
    <w:multiLevelType w:val="singleLevel"/>
    <w:tmpl w:val="68CCE939"/>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4E5E233C"/>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字符"/>
    <w:link w:val="3"/>
    <w:uiPriority w:val="0"/>
    <w:rPr>
      <w:rFonts w:eastAsia="仿宋_GB2312"/>
      <w:b/>
      <w:bCs/>
      <w:kern w:val="44"/>
      <w:sz w:val="44"/>
      <w:szCs w:val="44"/>
    </w:rPr>
  </w:style>
  <w:style w:type="character" w:customStyle="1" w:styleId="18">
    <w:name w:val="标题 2 字符"/>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Body text|1_"/>
    <w:link w:val="25"/>
    <w:qFormat/>
    <w:uiPriority w:val="0"/>
    <w:rPr>
      <w:rFonts w:ascii="宋体" w:hAnsi="宋体" w:cs="宋体"/>
      <w:kern w:val="2"/>
      <w:sz w:val="30"/>
      <w:szCs w:val="30"/>
      <w:lang w:val="zh-TW" w:eastAsia="zh-TW" w:bidi="zh-TW"/>
    </w:rPr>
  </w:style>
  <w:style w:type="paragraph" w:customStyle="1" w:styleId="25">
    <w:name w:val="Body text|1"/>
    <w:basedOn w:val="1"/>
    <w:link w:val="24"/>
    <w:qFormat/>
    <w:uiPriority w:val="0"/>
    <w:pPr>
      <w:spacing w:line="420" w:lineRule="auto"/>
      <w:ind w:firstLine="400"/>
    </w:pPr>
    <w:rPr>
      <w:rFonts w:ascii="宋体" w:hAnsi="宋体" w:eastAsia="宋体" w:cs="宋体"/>
      <w:szCs w:val="30"/>
      <w:lang w:val="zh-TW" w:eastAsia="zh-TW" w:bidi="zh-TW"/>
    </w:rPr>
  </w:style>
  <w:style w:type="character" w:customStyle="1" w:styleId="26">
    <w:name w:val="闻政正文 Char"/>
    <w:link w:val="27"/>
    <w:qFormat/>
    <w:uiPriority w:val="0"/>
    <w:rPr>
      <w:rFonts w:eastAsia="仿宋_GB2312"/>
      <w:sz w:val="28"/>
      <w:szCs w:val="28"/>
    </w:rPr>
  </w:style>
  <w:style w:type="paragraph" w:customStyle="1" w:styleId="27">
    <w:name w:val="闻政正文"/>
    <w:basedOn w:val="1"/>
    <w:link w:val="26"/>
    <w:qFormat/>
    <w:uiPriority w:val="0"/>
    <w:pPr>
      <w:spacing w:line="500" w:lineRule="exact"/>
      <w:ind w:firstLine="560" w:firstLineChars="200"/>
    </w:pPr>
    <w:rPr>
      <w:kern w:val="0"/>
      <w:sz w:val="28"/>
      <w:szCs w:val="28"/>
    </w:rPr>
  </w:style>
  <w:style w:type="character" w:customStyle="1" w:styleId="28">
    <w:name w:val="闻政-正文三级标题 Char"/>
    <w:link w:val="29"/>
    <w:qFormat/>
    <w:uiPriority w:val="3"/>
    <w:rPr>
      <w:rFonts w:eastAsia="仿宋_GB2312"/>
      <w:b/>
      <w:snapToGrid w:val="0"/>
      <w:sz w:val="28"/>
      <w:szCs w:val="28"/>
    </w:rPr>
  </w:style>
  <w:style w:type="paragraph" w:customStyle="1" w:styleId="29">
    <w:name w:val="闻政-正文三级标题"/>
    <w:basedOn w:val="1"/>
    <w:next w:val="1"/>
    <w:link w:val="28"/>
    <w:qFormat/>
    <w:uiPriority w:val="3"/>
    <w:pPr>
      <w:widowControl/>
      <w:spacing w:before="120" w:after="60" w:line="500" w:lineRule="exact"/>
      <w:ind w:left="200" w:leftChars="200"/>
    </w:pPr>
    <w:rPr>
      <w:b/>
      <w:snapToGrid w:val="0"/>
      <w:kern w:val="0"/>
      <w:sz w:val="28"/>
      <w:szCs w:val="28"/>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2">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89796F770F7E478F96333A48A9BD4AA6_13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3d60da-ff87-4547-88e1-ec5e7b635501}">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3</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2025-09-19T05:24:09Z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89796F770F7E478F96333A48A9BD4AA6_13</vt:lpwstr>
  </property>
  <property fmtid="{D5CDD505-2E9C-101B-9397-08002B2CF9AE}" pid="4" name="KSOTemplateDocerSaveRecord">
    <vt:lpwstr>eyJoZGlkIjoiYzZkNzQ4ZWFiZmQ4NTRhOWRkZTk3YTMwMjlmMmZhYmUiLCJ1c2VySWQiOiI1NzgxMjU4NDIifQ_x003D__x003D_</vt:lpwstr>
  </property>
</Properties>
</file>