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2024年自治区优抚对象补助经费项目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2024年自治区优抚对象补助经费项目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阿图什市退役军人事务局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阿图什市退役军人事务局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2024年自治区优抚对象补助经费项目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随着经济社会的不断发展，物价水平、生活成本等都在发生变化。为了让优抚对象的生活不低于当地平均生活水平，需要根据实际情况适时调整补助标准，需要相应的经费支持</w:t>
      </w:r>
      <w:r>
        <w:rPr>
          <w:rFonts w:ascii="仿宋_GB2312" w:hAnsi="仿宋_GB2312" w:cs="仿宋_GB2312" w:hint="eastAsia"/>
          <w:color w:val="auto"/>
          <w:sz w:val="32"/>
          <w:szCs w:val="32"/>
          <w:highlight w:val="none"/>
          <w:lang w:eastAsia="zh-CN"/>
        </w:rPr>
        <w:t xml:space="preserve">，保障优抚对象</w:t>
      </w:r>
      <w:r>
        <w:rPr>
          <w:rFonts w:ascii="仿宋_GB2312" w:hAnsi="仿宋_GB2312" w:cs="仿宋_GB2312" w:hint="eastAsia"/>
          <w:color w:val="auto"/>
          <w:sz w:val="32"/>
          <w:szCs w:val="32"/>
          <w:highlight w:val="none"/>
          <w:lang w:val="en-US" w:eastAsia="zh-CN"/>
        </w:rPr>
        <w:t xml:space="preserve">基本</w:t>
      </w:r>
      <w:r>
        <w:rPr>
          <w:rFonts w:ascii="仿宋_GB2312" w:hAnsi="仿宋_GB2312" w:cs="仿宋_GB2312" w:hint="eastAsia"/>
          <w:color w:val="auto"/>
          <w:sz w:val="32"/>
          <w:szCs w:val="32"/>
          <w:highlight w:val="none"/>
          <w:lang w:eastAsia="zh-CN"/>
        </w:rPr>
        <w:t xml:space="preserve">生活，解决</w:t>
      </w:r>
      <w:r>
        <w:rPr>
          <w:rFonts w:ascii="仿宋_GB2312" w:hAnsi="仿宋_GB2312" w:cs="仿宋_GB2312" w:hint="eastAsia"/>
          <w:color w:val="auto"/>
          <w:sz w:val="32"/>
          <w:szCs w:val="32"/>
          <w:highlight w:val="none"/>
          <w:lang w:val="en-US" w:eastAsia="zh-CN"/>
        </w:rPr>
        <w:t xml:space="preserve">其</w:t>
      </w:r>
      <w:r>
        <w:rPr>
          <w:rFonts w:ascii="仿宋_GB2312" w:hAnsi="仿宋_GB2312" w:cs="仿宋_GB2312" w:hint="eastAsia"/>
          <w:color w:val="auto"/>
          <w:sz w:val="32"/>
          <w:szCs w:val="32"/>
          <w:highlight w:val="none"/>
          <w:lang w:eastAsia="zh-CN"/>
        </w:rPr>
        <w:t xml:space="preserve">实际困难，有利于维护社会公平正义，促进社会和谐稳定，增强社会凝聚力，营造良好的社会氛围，让广大群众感受到国家对为国家作出贡献者的重视和保障。</w:t>
      </w:r>
      <w:r>
        <w:rPr>
          <w:rFonts w:ascii="仿宋_GB2312" w:hAnsi="仿宋_GB2312" w:cs="仿宋_GB2312" w:hint="eastAsia"/>
          <w:color w:val="auto"/>
          <w:sz w:val="32"/>
          <w:szCs w:val="32"/>
          <w:highlight w:val="none"/>
        </w:rPr>
        <w:t xml:space="preserve">本项目根据《关于提前下达2024年自治区优抚对象补助经费预算的通知》克财社〔2023〕66号文件</w:t>
      </w:r>
      <w:r>
        <w:rPr>
          <w:rFonts w:ascii="仿宋_GB2312" w:hAnsi="仿宋_GB2312" w:cs="仿宋_GB2312" w:hint="eastAsia"/>
          <w:color w:val="auto"/>
          <w:sz w:val="32"/>
          <w:szCs w:val="32"/>
          <w:highlight w:val="none"/>
          <w:lang w:val="en-US" w:eastAsia="zh-CN"/>
        </w:rPr>
        <w:t xml:space="preserve">实施</w:t>
      </w:r>
      <w:r>
        <w:rPr>
          <w:rFonts w:ascii="仿宋_GB2312" w:hAnsi="仿宋_GB2312" w:cs="仿宋_GB2312" w:hint="eastAsia"/>
          <w:color w:val="auto"/>
          <w:sz w:val="32"/>
          <w:szCs w:val="32"/>
          <w:highlight w:val="none"/>
        </w:rPr>
        <w:t xml:space="preserve">，旨在通过实施本项目充分体现党和政府对各类优抚对象的关怀，提高和改善他们的生活水平。</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自治区优抚对象补助经费预算的通知》克财社【2023】66号文件，下达资金150.11万元，用于发放优抚对象补助资金，充分体现党和政府对各类优抚对象的关怀，提高和改善他们的生活水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退役军人事务局,实施单位为阿图什市退役军人事务局，主要职责依据具体政策、标准和办法，明确补助的对象范围、发放时间和流程等细则，符合领取补助人员相关信息，建立专门的档案和数据库，对补助对象的信息进行动态管理，合理确定资金需求，并积极协调财政部门确保资金按时足额到位，宣传补助的政策内容，包括补助标准、申请流程、发放方式等，补助发放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根据《关于提前下达2024年自治区优抚对象补助经费预算的通知》克财社〔2023〕66号文件，下达资金150.11万元，共计支出135.5951万元，用于优抚对象补助资金发放人数117人；通过实施本项目充分体现党和政府对各类优抚对象的关怀，提高和改善他们的生活水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150.11万元</w:t>
      </w:r>
      <w:r>
        <w:rPr>
          <w:rStyle w:val="Strong"/>
          <w:rFonts w:ascii="仿宋_GB2312" w:hAnsi="仿宋_GB2312" w:cs="仿宋_GB2312" w:hint="eastAsia"/>
          <w:b w:val="0"/>
          <w:bCs w:val="0"/>
          <w:color w:val="auto"/>
          <w:spacing w:val="-4"/>
          <w:sz w:val="32"/>
          <w:szCs w:val="30"/>
          <w:highlight w:val="none"/>
        </w:rPr>
        <w:t xml:space="preserve">，资金来源为自治区专项资金。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135.60万元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90.30%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val="en-US" w:eastAsia="zh-CN"/>
        </w:rPr>
      </w:pPr>
      <w:r>
        <w:rPr>
          <w:rStyle w:val="Strong"/>
          <w:rFonts w:ascii="仿宋_GB2312" w:hint="eastAsia"/>
          <w:b w:val="0"/>
          <w:color w:val="auto"/>
          <w:spacing w:val="-4"/>
          <w:sz w:val="32"/>
          <w:highlight w:val="none"/>
        </w:rPr>
        <w:t xml:space="preserve">用于</w:t>
      </w:r>
      <w:r>
        <w:rPr>
          <w:rStyle w:val="Strong"/>
          <w:rFonts w:ascii="仿宋_GB2312" w:hint="eastAsia"/>
          <w:b w:val="0"/>
          <w:color w:val="auto"/>
          <w:spacing w:val="-4"/>
          <w:sz w:val="32"/>
          <w:highlight w:val="none"/>
        </w:rPr>
        <w:t xml:space="preserve">发放</w:t>
      </w:r>
      <w:r>
        <w:rPr>
          <w:rStyle w:val="Strong"/>
          <w:rFonts w:ascii="仿宋_GB2312" w:hint="eastAsia"/>
          <w:b w:val="0"/>
          <w:color w:val="auto"/>
          <w:spacing w:val="-4"/>
          <w:sz w:val="32"/>
          <w:highlight w:val="none"/>
        </w:rPr>
        <w:t xml:space="preserve">优抚对象</w:t>
      </w:r>
      <w:r>
        <w:rPr>
          <w:rStyle w:val="Strong"/>
          <w:rFonts w:ascii="仿宋_GB2312" w:hint="eastAsia"/>
          <w:b w:val="0"/>
          <w:color w:val="auto"/>
          <w:spacing w:val="-4"/>
          <w:sz w:val="32"/>
          <w:highlight w:val="none"/>
          <w:lang w:val="en-US" w:eastAsia="zh-CN"/>
        </w:rPr>
        <w:t xml:space="preserve">补助</w:t>
      </w:r>
      <w:r>
        <w:rPr>
          <w:rStyle w:val="Strong"/>
          <w:rFonts w:ascii="仿宋_GB2312" w:hint="eastAsia"/>
          <w:b w:val="0"/>
          <w:color w:val="auto"/>
          <w:spacing w:val="-4"/>
          <w:sz w:val="32"/>
          <w:highlight w:val="none"/>
        </w:rPr>
        <w:t xml:space="preserve">人数117人135.60万元</w:t>
      </w:r>
      <w:r>
        <w:rPr>
          <w:rStyle w:val="Strong"/>
          <w:rFonts w:ascii="仿宋_GB2312" w:hint="eastAsia"/>
          <w:b w:val="0"/>
          <w:color w:val="auto"/>
          <w:spacing w:val="-4"/>
          <w:sz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提前下达2024年自治区优抚对象补助经费预算的通知》克财社【2023】66号文件，下达资金150.11万元，用于发放优抚对象补助资金，充分体现党和政府对各类优抚对象的关怀，提高和改善他们的生活水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关于提前下达2024年自治区优抚对象补助经费预算的通知》克财社【2023】66号文件，下达资金150.11万元，用于发放优抚对象补助资金，充分体现党和政府对各类优抚对象的关怀，提高和改善他们的生活水平。</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2024年自治区优抚对象补助经费项目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自治区优抚对象补助经费项目的深入调研基础上，按照《项目支出绩效评价管理办法》（财预〔2021〕10号）对于指标体系的要求和规范，建立一套适合评价2024年自治区优抚对象补助经费项目的指标体系，从项目决策、项目过程、项目产出和项目绩效四个维度全面考察2024年自治区优抚对象补助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2024年自治区优抚对象补助经费项目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杨宁</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赛亚热·阿斯木江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高红涛</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自治区优抚对象补助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组织管理、产出与效益效果。在此基础上，以相关的项目数据为基础，综合运用不同的评价方法，结合评价标准和评分规则，2024年自治区优抚对象补助经费项目综合得分为98.54分，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2024年自治区优抚对象补助经费项目评价得分情况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16.51</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项目预算执行率90.30%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29.03</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未完成时效指标一个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98.54</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2024年自治区优抚对象补助经费项目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本项目共计支出135.5951万元，用于优抚对象补助资金发放人数117人；通过实施本项目充分体现党和政府对各类优抚对象的关怀，提高和改善他们的生活水平。</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2024年自治区优抚对象补助经费项目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135.60万元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98.54</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自治区优抚对象补助经费项目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2024年自治区优抚对象补助经费项目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2024年自治区优抚对象补助经费项目</w:t>
      </w:r>
      <w:r>
        <w:rPr>
          <w:rFonts w:ascii="仿宋_GB2312" w:hAnsi="仿宋_GB2312" w:cs="仿宋_GB2312" w:hint="eastAsia"/>
          <w:color w:val="auto"/>
          <w:sz w:val="32"/>
          <w:szCs w:val="32"/>
          <w:highlight w:val="none"/>
        </w:rPr>
        <w:t xml:space="preserve">组织形式，明确了该项目经费的开支范围为用于优抚对象补助资金发放人数117人，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2024年自治区优抚对象补助经费项目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数量指标为优抚对象补助资金发放人数，预期指标值为</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117人，实际完成值为117人，指标达到预期目标。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质量指标为按规定执行各类优抚对象抚恤补助标准，预期指标值为等于100%，实际完成值为100%，指标达到预期目标。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质量指标为下拨经费符合相关政策规定，预期指标值为等于100%，实际完成值为100%，指标达到预期目标。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时效指标为优抚对象补助资金及时拨付率，预期指标值为等于100%，实际完成值为90.30%，指标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达到预期目标。原因：根据实际产生的费用进行支出，剩余资金结转至2025年支出，因此指标完成情况存在偏差。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时效指标为优抚对象抚恤补助经费下拨时间，预期指标值为2024年12月底前，实际完成值为2024年12月前，指标达到预期目标。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社会效益指标为体现党和政府对优抚对象的关心和关怀、解决优抚对象生活困难，提高生活质量，预期指标值为逐年改善，实际完成值为逐年改善，指标达到预期目标。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满意度指标为优抚对象满意度，预期指标值为大于等于90%，</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本项目全年预算数</w:t>
      </w:r>
      <w:r>
        <w:rPr>
          <w:rFonts w:hint="eastAsia"/>
          <w:color w:val="auto"/>
          <w:sz w:val="32"/>
          <w:highlight w:val="none"/>
          <w:lang w:eastAsia="zh-CN"/>
        </w:rPr>
        <w:t xml:space="preserve">150.11万元</w:t>
      </w:r>
      <w:r>
        <w:rPr>
          <w:rFonts w:hint="eastAsia"/>
          <w:color w:val="auto"/>
          <w:sz w:val="32"/>
          <w:highlight w:val="none"/>
        </w:rPr>
        <w:t xml:space="preserve">，执行数</w:t>
      </w:r>
      <w:r>
        <w:rPr>
          <w:rFonts w:hint="eastAsia"/>
          <w:color w:val="auto"/>
          <w:sz w:val="32"/>
          <w:highlight w:val="none"/>
          <w:lang w:eastAsia="zh-CN"/>
        </w:rPr>
        <w:t xml:space="preserve">135.60万元</w:t>
      </w:r>
      <w:r>
        <w:rPr>
          <w:rFonts w:hint="eastAsia"/>
          <w:color w:val="auto"/>
          <w:sz w:val="32"/>
          <w:highlight w:val="none"/>
        </w:rPr>
        <w:t xml:space="preserve">，执行率</w:t>
      </w:r>
      <w:r>
        <w:rPr>
          <w:rFonts w:hint="eastAsia"/>
          <w:color w:val="auto"/>
          <w:sz w:val="32"/>
          <w:highlight w:val="none"/>
          <w:lang w:eastAsia="zh-CN"/>
        </w:rPr>
        <w:t xml:space="preserve">90.30%</w:t>
      </w:r>
      <w:r>
        <w:rPr>
          <w:rFonts w:hint="eastAsia"/>
          <w:color w:val="auto"/>
          <w:sz w:val="32"/>
          <w:highlight w:val="none"/>
        </w:rPr>
        <w:t xml:space="preserve">，绩效指标完成率</w:t>
      </w:r>
      <w:r>
        <w:rPr>
          <w:rFonts w:hint="eastAsia"/>
          <w:color w:val="auto"/>
          <w:sz w:val="32"/>
          <w:highlight w:val="none"/>
          <w:lang w:val="en-US" w:eastAsia="zh-CN"/>
        </w:rPr>
        <w:t xml:space="preserve">98.61</w:t>
      </w:r>
      <w:r>
        <w:rPr>
          <w:rFonts w:hint="eastAsia"/>
          <w:color w:val="auto"/>
          <w:sz w:val="32"/>
          <w:highlight w:val="none"/>
        </w:rPr>
        <w:t xml:space="preserve">%，偏差率</w:t>
      </w:r>
      <w:r>
        <w:rPr>
          <w:rFonts w:hint="eastAsia"/>
          <w:color w:val="auto"/>
          <w:sz w:val="32"/>
          <w:highlight w:val="none"/>
          <w:lang w:val="en-US" w:eastAsia="zh-CN"/>
        </w:rPr>
        <w:t xml:space="preserve">8.31</w:t>
      </w:r>
      <w:r>
        <w:rPr>
          <w:rFonts w:hint="eastAsia"/>
          <w:color w:val="auto"/>
          <w:sz w:val="32"/>
          <w:highlight w:val="none"/>
        </w:rPr>
        <w:t xml:space="preserve">%。偏差原因：</w:t>
      </w:r>
      <w:r>
        <w:rPr>
          <w:rFonts w:hint="eastAsia"/>
          <w:color w:val="auto"/>
          <w:sz w:val="32"/>
          <w:highlight w:val="none"/>
          <w:lang w:val="en-US" w:eastAsia="zh-CN"/>
        </w:rPr>
        <w:t xml:space="preserve">根据实际产生的费用进行支出，剩余资金结转至2025年支出，因此指标完成情况存在偏差。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4.52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7.03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98.54</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58A418BEB7B54BA298B011A64330ED8E_13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10</TotalTime>
  <Pages>19</Pages>
  <Words>455</Words>
  <Characters>491</Characters>
  <Application>WPS Office_12.1.0.15120_F1E327BC-269C-435d-A152-05C5408002CA</Application>
  <DocSecurity>0</DocSecurity>
  <Lines>56</Lines>
  <Paragraphs>15</Paragraphs>
  <Company>P R C</Company>
  <CharactersWithSpaces>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58A418BEB7B54BA298B011A64330ED8E_13</vt:lpwstr>
  </property>
  <property fmtid="{D5CDD505-2E9C-101B-9397-08002B2CF9AE}" pid="4" name="KSOTemplateDocerSaveRecord">
    <vt:lpwstr>eyJoZGlkIjoiNDI0NDJkOGYwMTkzMjYxMzMxMmY2Njg1ZjNkYzk2MzkiLCJ1c2VySWQiOiIzMzAyMjM5MTcifQ_x003D__x003D_</vt:lpwstr>
  </property>
</Properties>
</file>