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阿图什市阿湖乡社会保障（民政）服务中心（退役军人服务站）2024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1CCC77E">
      <w:r>
        <w:br w:type="page"/>
      </w:r>
    </w:p>
    <w:p w14:paraId="127DE12E">
      <w:pPr>
        <w:spacing w:line="640" w:lineRule="exact"/>
        <w:jc w:val="center"/>
        <w:outlineLvl w:val="1"/>
      </w:pPr>
      <w:r>
        <w:rPr>
          <w:rFonts w:ascii="黑体" w:hAnsi="黑体" w:eastAsia="黑体"/>
          <w:sz w:val="32"/>
        </w:rPr>
        <w:t>第一部分 单位概况</w:t>
      </w:r>
    </w:p>
    <w:p w14:paraId="353D6F3C">
      <w:pPr>
        <w:spacing w:line="640" w:lineRule="exact"/>
        <w:ind w:firstLine="640"/>
        <w:jc w:val="both"/>
        <w:outlineLvl w:val="2"/>
      </w:pPr>
      <w:r>
        <w:rPr>
          <w:rFonts w:ascii="黑体" w:hAnsi="黑体" w:eastAsia="黑体"/>
          <w:sz w:val="32"/>
        </w:rPr>
        <w:t>一、主要职能</w:t>
      </w:r>
    </w:p>
    <w:p w14:paraId="5BFFCE79">
      <w:pPr>
        <w:spacing w:line="580" w:lineRule="exact"/>
        <w:ind w:firstLine="640"/>
        <w:jc w:val="both"/>
      </w:pPr>
      <w:r>
        <w:rPr>
          <w:rFonts w:ascii="仿宋_GB2312" w:hAnsi="仿宋_GB2312" w:eastAsia="仿宋_GB2312"/>
          <w:sz w:val="32"/>
        </w:rPr>
        <w:t>宣传有关人力资源和社会保障方面的政策。协助办理城乡居民社会保险业务工作，承担就业</w:t>
      </w:r>
      <w:r>
        <w:rPr>
          <w:rFonts w:hint="eastAsia" w:ascii="仿宋_GB2312" w:hAnsi="仿宋_GB2312" w:eastAsia="仿宋_GB2312"/>
          <w:sz w:val="32"/>
          <w:lang w:eastAsia="zh-CN"/>
        </w:rPr>
        <w:t>创业</w:t>
      </w:r>
      <w:r>
        <w:rPr>
          <w:rFonts w:ascii="仿宋_GB2312" w:hAnsi="仿宋_GB2312" w:eastAsia="仿宋_GB2312"/>
          <w:sz w:val="32"/>
        </w:rPr>
        <w:t>具体管理工作，做好医疗保险服务工作，开展劳动监察工作，做好基层资料台账和统计上报工作。协助乡政府制定民政、教育、劳动就业、社会保障、社会救助、社会</w:t>
      </w:r>
      <w:r>
        <w:rPr>
          <w:rFonts w:hint="eastAsia" w:ascii="仿宋_GB2312" w:hAnsi="仿宋_GB2312" w:eastAsia="仿宋_GB2312"/>
          <w:sz w:val="32"/>
          <w:lang w:eastAsia="zh-CN"/>
        </w:rPr>
        <w:t>医疗保障</w:t>
      </w:r>
      <w:r>
        <w:rPr>
          <w:rFonts w:ascii="仿宋_GB2312" w:hAnsi="仿宋_GB2312" w:eastAsia="仿宋_GB2312"/>
          <w:sz w:val="32"/>
        </w:rPr>
        <w:t>、医疗救助、退役军人、残疾人事业等</w:t>
      </w:r>
      <w:r>
        <w:rPr>
          <w:rFonts w:hint="eastAsia" w:ascii="仿宋_GB2312" w:hAnsi="仿宋_GB2312" w:eastAsia="仿宋_GB2312"/>
          <w:sz w:val="32"/>
          <w:lang w:eastAsia="zh-CN"/>
        </w:rPr>
        <w:t>工作的开展</w:t>
      </w:r>
      <w:r>
        <w:rPr>
          <w:rFonts w:ascii="仿宋_GB2312" w:hAnsi="仿宋_GB2312" w:eastAsia="仿宋_GB2312"/>
          <w:sz w:val="32"/>
        </w:rPr>
        <w:t>规划和年度计划并组织实施。完成上级业务主管部门和乡镇党委、政府安排的各项工作。</w:t>
      </w:r>
    </w:p>
    <w:p w14:paraId="37395B43">
      <w:pPr>
        <w:spacing w:line="640" w:lineRule="exact"/>
        <w:ind w:firstLine="640"/>
        <w:jc w:val="both"/>
        <w:outlineLvl w:val="2"/>
      </w:pPr>
      <w:r>
        <w:rPr>
          <w:rFonts w:ascii="黑体" w:hAnsi="黑体" w:eastAsia="黑体"/>
          <w:sz w:val="32"/>
        </w:rPr>
        <w:t>二、机构设置及人员情况</w:t>
      </w:r>
    </w:p>
    <w:p w14:paraId="6062E6B1">
      <w:pPr>
        <w:spacing w:line="580" w:lineRule="exact"/>
        <w:ind w:firstLine="640"/>
        <w:jc w:val="both"/>
      </w:pPr>
      <w:r>
        <w:rPr>
          <w:rFonts w:ascii="仿宋_GB2312" w:hAnsi="仿宋_GB2312" w:eastAsia="仿宋_GB2312"/>
          <w:sz w:val="32"/>
        </w:rPr>
        <w:t>阿图什市阿湖乡社会保障（民政）服务中心（退役军人服务站）2024年度，实有人数10人，其中：在职人员10人，增加4人；离休人员0人，增加0人；退休人员0人,增加0人。</w:t>
      </w:r>
    </w:p>
    <w:p w14:paraId="38747AC8">
      <w:pPr>
        <w:spacing w:line="580" w:lineRule="exact"/>
        <w:ind w:firstLine="640"/>
        <w:jc w:val="both"/>
      </w:pPr>
      <w:r>
        <w:rPr>
          <w:rFonts w:ascii="仿宋_GB2312" w:hAnsi="仿宋_GB2312" w:eastAsia="仿宋_GB2312"/>
          <w:sz w:val="32"/>
        </w:rPr>
        <w:t>阿图什市阿湖乡社会保障（民政）服务中心（退役军人服务站）无下属预算单位，下设2个科室，分别是：统计室、所长室。</w:t>
      </w:r>
    </w:p>
    <w:p w14:paraId="54EEE894">
      <w:r>
        <w:br w:type="page"/>
      </w:r>
    </w:p>
    <w:p w14:paraId="01877879">
      <w:pPr>
        <w:spacing w:line="240" w:lineRule="auto"/>
        <w:jc w:val="center"/>
        <w:outlineLvl w:val="1"/>
      </w:pPr>
      <w:r>
        <w:rPr>
          <w:rFonts w:ascii="黑体" w:hAnsi="黑体" w:eastAsia="黑体"/>
          <w:sz w:val="32"/>
        </w:rPr>
        <w:t>第二部分 部门决算情况说明</w:t>
      </w:r>
    </w:p>
    <w:p w14:paraId="40EA3272">
      <w:pPr>
        <w:spacing w:line="640" w:lineRule="exact"/>
        <w:ind w:firstLine="640"/>
        <w:jc w:val="both"/>
        <w:outlineLvl w:val="2"/>
      </w:pPr>
      <w:r>
        <w:rPr>
          <w:rFonts w:ascii="黑体" w:hAnsi="黑体" w:eastAsia="黑体"/>
          <w:sz w:val="32"/>
        </w:rPr>
        <w:t>一、收入支出决算总体情况说明</w:t>
      </w:r>
    </w:p>
    <w:p w14:paraId="016D6529">
      <w:pPr>
        <w:spacing w:line="580" w:lineRule="exact"/>
        <w:ind w:firstLine="640"/>
        <w:jc w:val="both"/>
      </w:pPr>
      <w:r>
        <w:rPr>
          <w:rFonts w:ascii="仿宋_GB2312" w:hAnsi="仿宋_GB2312" w:eastAsia="仿宋_GB2312"/>
          <w:b/>
          <w:sz w:val="32"/>
        </w:rPr>
        <w:t>2024年度收入总计105.02万元，</w:t>
      </w:r>
      <w:r>
        <w:rPr>
          <w:rFonts w:ascii="仿宋_GB2312" w:hAnsi="仿宋_GB2312" w:eastAsia="仿宋_GB2312"/>
          <w:b w:val="0"/>
          <w:sz w:val="32"/>
        </w:rPr>
        <w:t>其中：本年收入合计96.02万元，使用非财政拨款结余（含专用结余）0.00万元，年初结转和结余9.00万元。</w:t>
      </w:r>
    </w:p>
    <w:p w14:paraId="040AA34D">
      <w:pPr>
        <w:spacing w:line="580" w:lineRule="exact"/>
        <w:ind w:firstLine="640"/>
        <w:jc w:val="both"/>
      </w:pPr>
      <w:r>
        <w:rPr>
          <w:rFonts w:ascii="仿宋_GB2312" w:hAnsi="仿宋_GB2312" w:eastAsia="仿宋_GB2312"/>
          <w:b/>
          <w:sz w:val="32"/>
        </w:rPr>
        <w:t>2024年度支出总计105.02万元，</w:t>
      </w:r>
      <w:r>
        <w:rPr>
          <w:rFonts w:ascii="仿宋_GB2312" w:hAnsi="仿宋_GB2312" w:eastAsia="仿宋_GB2312"/>
          <w:b w:val="0"/>
          <w:sz w:val="32"/>
        </w:rPr>
        <w:t>其中：本年支出合计96.02万元，结余分配0.00万元，年末结转和结余9.00万元。</w:t>
      </w:r>
    </w:p>
    <w:p w14:paraId="138FB34E">
      <w:pPr>
        <w:spacing w:line="580" w:lineRule="exact"/>
        <w:ind w:firstLine="640"/>
        <w:jc w:val="both"/>
      </w:pPr>
      <w:r>
        <w:rPr>
          <w:rFonts w:ascii="仿宋_GB2312" w:hAnsi="仿宋_GB2312" w:eastAsia="仿宋_GB2312"/>
          <w:b w:val="0"/>
          <w:sz w:val="32"/>
        </w:rPr>
        <w:t>收入支出总体与上年相比，增加7.73万元，增长7.95%，主要原因是：本年在职人员增加，在职人员工资调增、社保、公积金基数调增，人员经费增加。</w:t>
      </w:r>
    </w:p>
    <w:p w14:paraId="1599E132">
      <w:pPr>
        <w:spacing w:line="640" w:lineRule="exact"/>
        <w:ind w:firstLine="640"/>
        <w:jc w:val="both"/>
        <w:outlineLvl w:val="2"/>
      </w:pPr>
      <w:r>
        <w:rPr>
          <w:rFonts w:ascii="黑体" w:hAnsi="黑体" w:eastAsia="黑体"/>
          <w:sz w:val="32"/>
        </w:rPr>
        <w:t>二、收入决算情况说明</w:t>
      </w:r>
    </w:p>
    <w:p w14:paraId="477FB0DF">
      <w:pPr>
        <w:spacing w:line="580" w:lineRule="exact"/>
        <w:ind w:firstLine="640"/>
        <w:jc w:val="both"/>
      </w:pPr>
      <w:r>
        <w:rPr>
          <w:rFonts w:ascii="仿宋_GB2312" w:hAnsi="仿宋_GB2312" w:eastAsia="仿宋_GB2312"/>
          <w:b/>
          <w:sz w:val="32"/>
        </w:rPr>
        <w:t>本年收入96.02万元，</w:t>
      </w:r>
      <w:r>
        <w:rPr>
          <w:rFonts w:ascii="仿宋_GB2312" w:hAnsi="仿宋_GB2312" w:eastAsia="仿宋_GB2312"/>
          <w:b w:val="0"/>
          <w:sz w:val="32"/>
        </w:rPr>
        <w:t>其中：财政拨款收入96.02万元，占100.00%；上级补助收入0.00万元，占0.00%；事业收入0.00万元，占0.00%；经营收入0.00万元，占0.00%；附属单位上缴收入0.00万元，占0.00%；其他收入0.00万元，占0.00%。</w:t>
      </w:r>
    </w:p>
    <w:p w14:paraId="0B1E28EC">
      <w:pPr>
        <w:spacing w:line="640" w:lineRule="exact"/>
        <w:ind w:firstLine="640"/>
        <w:jc w:val="both"/>
        <w:outlineLvl w:val="2"/>
      </w:pPr>
      <w:r>
        <w:rPr>
          <w:rFonts w:ascii="黑体" w:hAnsi="黑体" w:eastAsia="黑体"/>
          <w:sz w:val="32"/>
        </w:rPr>
        <w:t>三、支出决算情况说明</w:t>
      </w:r>
    </w:p>
    <w:p w14:paraId="3D896772">
      <w:pPr>
        <w:spacing w:line="580" w:lineRule="exact"/>
        <w:ind w:firstLine="640"/>
        <w:jc w:val="both"/>
      </w:pPr>
      <w:r>
        <w:rPr>
          <w:rFonts w:ascii="仿宋_GB2312" w:hAnsi="仿宋_GB2312" w:eastAsia="仿宋_GB2312"/>
          <w:b/>
          <w:sz w:val="32"/>
        </w:rPr>
        <w:t>本年支出96.02万元，</w:t>
      </w:r>
      <w:r>
        <w:rPr>
          <w:rFonts w:ascii="仿宋_GB2312" w:hAnsi="仿宋_GB2312" w:eastAsia="仿宋_GB2312"/>
          <w:b w:val="0"/>
          <w:sz w:val="32"/>
        </w:rPr>
        <w:t>其中：基本支出96.02万元，占100.00%；项目支出0.00万元，占0.00%；上缴上级支出0.00万元，占0.00%；经营支出0.00万元，占0.00%；对附属单位补助支出0.00万元，占0.00%。</w:t>
      </w:r>
    </w:p>
    <w:p w14:paraId="2E3EDC3A">
      <w:pPr>
        <w:spacing w:line="640" w:lineRule="exact"/>
        <w:ind w:firstLine="640"/>
        <w:jc w:val="both"/>
        <w:outlineLvl w:val="2"/>
      </w:pPr>
      <w:r>
        <w:rPr>
          <w:rFonts w:ascii="黑体" w:hAnsi="黑体" w:eastAsia="黑体"/>
          <w:sz w:val="32"/>
        </w:rPr>
        <w:t>四、财政拨款收入支出决算总体情况说明</w:t>
      </w:r>
    </w:p>
    <w:p w14:paraId="0860F708">
      <w:pPr>
        <w:spacing w:line="580" w:lineRule="exact"/>
        <w:ind w:firstLine="640"/>
        <w:jc w:val="both"/>
      </w:pPr>
      <w:r>
        <w:rPr>
          <w:rFonts w:ascii="仿宋_GB2312" w:hAnsi="仿宋_GB2312" w:eastAsia="仿宋_GB2312"/>
          <w:b/>
          <w:sz w:val="32"/>
        </w:rPr>
        <w:t>2024年度财政拨款收入总计96.02万元，</w:t>
      </w:r>
      <w:r>
        <w:rPr>
          <w:rFonts w:ascii="仿宋_GB2312" w:hAnsi="仿宋_GB2312" w:eastAsia="仿宋_GB2312"/>
          <w:b w:val="0"/>
          <w:sz w:val="32"/>
        </w:rPr>
        <w:t>其中：年初财政拨款结转和结余0.00万元，本年财政拨款收入96.02万元。</w:t>
      </w:r>
      <w:r>
        <w:rPr>
          <w:rFonts w:ascii="仿宋_GB2312" w:hAnsi="仿宋_GB2312" w:eastAsia="仿宋_GB2312"/>
          <w:b/>
          <w:sz w:val="32"/>
        </w:rPr>
        <w:t>财政拨款支出总计96.02万元，</w:t>
      </w:r>
      <w:r>
        <w:rPr>
          <w:rFonts w:ascii="仿宋_GB2312" w:hAnsi="仿宋_GB2312" w:eastAsia="仿宋_GB2312"/>
          <w:b w:val="0"/>
          <w:sz w:val="32"/>
        </w:rPr>
        <w:t>其中：年末财政拨款结转和结余0.00万元，本年财政拨款支出96.02万元。</w:t>
      </w:r>
    </w:p>
    <w:p w14:paraId="6CDC89A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增加7.73万元，增长8.76%，主要原因是：本年在职人员增加，在职人员工资调增、社保、公积金基数调增，人员经费增加。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年初预算数93.34万元，决算数96.02万元，预决算差异率2.87%，主要原因是：本年在职人员增加，年中追加人员经费及人员工资、社保、公积金基数调增部分资金，导致预决算存在差异。</w:t>
      </w:r>
    </w:p>
    <w:p w14:paraId="2E0D706F">
      <w:pPr>
        <w:spacing w:line="640" w:lineRule="exact"/>
        <w:ind w:firstLine="640"/>
        <w:jc w:val="both"/>
        <w:outlineLvl w:val="2"/>
      </w:pPr>
      <w:r>
        <w:rPr>
          <w:rFonts w:ascii="黑体" w:hAnsi="黑体" w:eastAsia="黑体"/>
          <w:sz w:val="32"/>
        </w:rPr>
        <w:t>五、一般公共预算财政拨款支出决算情况说明</w:t>
      </w:r>
    </w:p>
    <w:p w14:paraId="7FEFEAD9">
      <w:pPr>
        <w:spacing w:line="640" w:lineRule="exact"/>
        <w:ind w:firstLine="640"/>
        <w:jc w:val="both"/>
        <w:outlineLvl w:val="3"/>
      </w:pPr>
      <w:r>
        <w:rPr>
          <w:rFonts w:ascii="楷体_GB2312" w:hAnsi="楷体_GB2312" w:eastAsia="楷体_GB2312"/>
          <w:b/>
          <w:sz w:val="32"/>
        </w:rPr>
        <w:t>（一）一般公共预算财政拨款支出决算总体情况</w:t>
      </w:r>
    </w:p>
    <w:p w14:paraId="6DE75344">
      <w:pPr>
        <w:spacing w:line="580" w:lineRule="exact"/>
        <w:ind w:firstLine="640"/>
        <w:jc w:val="both"/>
      </w:pPr>
      <w:r>
        <w:rPr>
          <w:rFonts w:ascii="仿宋_GB2312" w:hAnsi="仿宋_GB2312" w:eastAsia="仿宋_GB2312"/>
          <w:b/>
          <w:sz w:val="32"/>
        </w:rPr>
        <w:t>2024年度一般公共预算财政拨款支出96.02万元，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增加7.73万元，增长8.76%，主要原因是：本年在职人员增加，在职人员工资调增、社保、公积金基数调增，人员经费增加。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年初预算数93.34万元，决算数96.02万元，预决算差异率2.87%，主要原因是：本年在职人员增加，年中追加人员经费及人员工资、社保、公积金基数调增部分资金，导致预决算存在差异。</w:t>
      </w:r>
    </w:p>
    <w:p w14:paraId="507C6683">
      <w:pPr>
        <w:spacing w:line="640" w:lineRule="exact"/>
        <w:ind w:firstLine="640"/>
        <w:jc w:val="both"/>
        <w:outlineLvl w:val="3"/>
      </w:pPr>
      <w:r>
        <w:rPr>
          <w:rFonts w:ascii="楷体_GB2312" w:hAnsi="楷体_GB2312" w:eastAsia="楷体_GB2312"/>
          <w:b/>
          <w:sz w:val="32"/>
        </w:rPr>
        <w:t>（二）一般公共预算财政拨款支出决算结构情况</w:t>
      </w:r>
    </w:p>
    <w:p w14:paraId="0A4976C4">
      <w:pPr>
        <w:spacing w:line="580" w:lineRule="exact"/>
        <w:ind w:firstLine="640"/>
        <w:jc w:val="both"/>
      </w:pPr>
      <w:r>
        <w:rPr>
          <w:rFonts w:ascii="仿宋_GB2312" w:hAnsi="仿宋_GB2312" w:eastAsia="仿宋_GB2312"/>
          <w:b w:val="0"/>
          <w:sz w:val="32"/>
        </w:rPr>
        <w:t>1.社会保障和就业支出(类)85.13万元,占88.66%。</w:t>
      </w:r>
    </w:p>
    <w:p w14:paraId="449CCA33">
      <w:pPr>
        <w:spacing w:line="580" w:lineRule="exact"/>
        <w:ind w:firstLine="640"/>
        <w:jc w:val="both"/>
      </w:pPr>
      <w:r>
        <w:rPr>
          <w:rFonts w:ascii="仿宋_GB2312" w:hAnsi="仿宋_GB2312" w:eastAsia="仿宋_GB2312"/>
          <w:b w:val="0"/>
          <w:sz w:val="32"/>
        </w:rPr>
        <w:t>2.卫生健康支出(类)3.07万元,占3.20%。</w:t>
      </w:r>
    </w:p>
    <w:p w14:paraId="72E513D0">
      <w:pPr>
        <w:spacing w:line="580" w:lineRule="exact"/>
        <w:ind w:firstLine="640"/>
        <w:jc w:val="both"/>
      </w:pPr>
      <w:r>
        <w:rPr>
          <w:rFonts w:ascii="仿宋_GB2312" w:hAnsi="仿宋_GB2312" w:eastAsia="仿宋_GB2312"/>
          <w:b w:val="0"/>
          <w:sz w:val="32"/>
        </w:rPr>
        <w:t>3.住房保障支出(类)7.82万元,占8.14%。</w:t>
      </w:r>
    </w:p>
    <w:p w14:paraId="31990104">
      <w:pPr>
        <w:spacing w:line="640" w:lineRule="exact"/>
        <w:ind w:firstLine="640"/>
        <w:jc w:val="both"/>
        <w:outlineLvl w:val="3"/>
      </w:pPr>
      <w:r>
        <w:rPr>
          <w:rFonts w:ascii="楷体_GB2312" w:hAnsi="楷体_GB2312" w:eastAsia="楷体_GB2312"/>
          <w:b/>
          <w:sz w:val="32"/>
        </w:rPr>
        <w:t>（三）一般公共预算财政拨款支出决算具体情况</w:t>
      </w:r>
    </w:p>
    <w:p w14:paraId="656E265E">
      <w:pPr>
        <w:spacing w:line="580" w:lineRule="exact"/>
        <w:ind w:firstLine="640"/>
        <w:jc w:val="both"/>
      </w:pPr>
      <w:r>
        <w:rPr>
          <w:rFonts w:ascii="仿宋_GB2312" w:hAnsi="仿宋_GB2312" w:eastAsia="仿宋_GB2312"/>
          <w:b w:val="0"/>
          <w:sz w:val="32"/>
        </w:rPr>
        <w:t>1.社会保障和就业支出(类)人力资源和社会保障管理事务(款)事业运行(项):支出决算数为75.30万元，比上年决算增加4.38万元，增长6.18%,主要原因是：本年新增在职人员，人员经费增加，导致经费较上年有所增加。</w:t>
      </w:r>
    </w:p>
    <w:p w14:paraId="1D266742">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9.83万元，比上年决算增加1.71万元，增长21.06%,主要原因是：本年在职人员增加，养老保险缴费较上年增加。</w:t>
      </w:r>
    </w:p>
    <w:p w14:paraId="1A8B3B3C">
      <w:pPr>
        <w:spacing w:line="580" w:lineRule="exact"/>
        <w:ind w:firstLine="640"/>
        <w:jc w:val="both"/>
      </w:pPr>
      <w:r>
        <w:rPr>
          <w:rFonts w:ascii="仿宋_GB2312" w:hAnsi="仿宋_GB2312" w:eastAsia="仿宋_GB2312"/>
          <w:b w:val="0"/>
          <w:sz w:val="32"/>
        </w:rPr>
        <w:t>3.卫生健康支出(类)行政事业单位医疗(款)事业单位医疗(项):支出决算数为3.07万元，比上年决算增加0.62万元，增长25.31%,主要原因是：本年在职人员增加，事业单位医疗支出较上年增加。</w:t>
      </w:r>
    </w:p>
    <w:p w14:paraId="6B5E5197">
      <w:pPr>
        <w:spacing w:line="580" w:lineRule="exact"/>
        <w:ind w:firstLine="640"/>
        <w:jc w:val="both"/>
      </w:pPr>
      <w:r>
        <w:rPr>
          <w:rFonts w:ascii="仿宋_GB2312" w:hAnsi="仿宋_GB2312" w:eastAsia="仿宋_GB2312"/>
          <w:b w:val="0"/>
          <w:sz w:val="32"/>
        </w:rPr>
        <w:t>4.住房保障支出(类)住房改革支出(款)住房公积金(项):支出决算数为7.82万元，比上年决算增加1.03万元，增长15.17%,主要原因是：本年在职人员增加，住房公积金支出较上年增加。</w:t>
      </w:r>
    </w:p>
    <w:p w14:paraId="5516195E">
      <w:pPr>
        <w:spacing w:line="640" w:lineRule="exact"/>
        <w:ind w:firstLine="640"/>
        <w:jc w:val="both"/>
        <w:outlineLvl w:val="2"/>
      </w:pPr>
      <w:r>
        <w:rPr>
          <w:rFonts w:ascii="黑体" w:hAnsi="黑体" w:eastAsia="黑体"/>
          <w:sz w:val="32"/>
        </w:rPr>
        <w:t>六、一般公共预算财政拨款基本支出决算情况说明</w:t>
      </w:r>
    </w:p>
    <w:p w14:paraId="71E0106B">
      <w:pPr>
        <w:spacing w:line="580" w:lineRule="exact"/>
        <w:ind w:firstLine="640"/>
        <w:jc w:val="both"/>
      </w:pPr>
      <w:r>
        <w:rPr>
          <w:rFonts w:ascii="仿宋_GB2312" w:hAnsi="仿宋_GB2312" w:eastAsia="仿宋_GB2312"/>
          <w:b w:val="0"/>
          <w:sz w:val="32"/>
        </w:rPr>
        <w:t>2024年度一般公共预算财政拨款基本支出96.02万元，其中：</w:t>
      </w:r>
      <w:r>
        <w:rPr>
          <w:rFonts w:ascii="仿宋_GB2312" w:hAnsi="仿宋_GB2312" w:eastAsia="仿宋_GB2312"/>
          <w:b/>
          <w:sz w:val="32"/>
        </w:rPr>
        <w:t>人员经费95.12万元，</w:t>
      </w:r>
      <w:r>
        <w:rPr>
          <w:rFonts w:ascii="仿宋_GB2312" w:hAnsi="仿宋_GB2312" w:eastAsia="仿宋_GB2312"/>
          <w:b w:val="0"/>
          <w:sz w:val="32"/>
        </w:rPr>
        <w:t>包括：基本工资、津贴补贴、奖金、机关事业单位基本养老保险缴费、职工基本医疗保险缴费、其他社会保障缴费、住房公积金。</w:t>
      </w:r>
    </w:p>
    <w:p w14:paraId="3D28E429">
      <w:pPr>
        <w:spacing w:line="580" w:lineRule="exact"/>
        <w:ind w:firstLine="640"/>
        <w:jc w:val="both"/>
      </w:pPr>
      <w:r>
        <w:rPr>
          <w:rFonts w:ascii="仿宋_GB2312" w:hAnsi="仿宋_GB2312" w:eastAsia="仿宋_GB2312"/>
          <w:b/>
          <w:sz w:val="32"/>
        </w:rPr>
        <w:t>公用经费0.90万元，</w:t>
      </w:r>
      <w:r>
        <w:rPr>
          <w:rFonts w:ascii="仿宋_GB2312" w:hAnsi="仿宋_GB2312" w:eastAsia="仿宋_GB2312"/>
          <w:b w:val="0"/>
          <w:sz w:val="32"/>
        </w:rPr>
        <w:t>包括：办公费、水费、电费、邮电费、差旅费、维修（护）费、公务用车运行维护费。</w:t>
      </w:r>
    </w:p>
    <w:p w14:paraId="1C9790C4">
      <w:pPr>
        <w:spacing w:line="640" w:lineRule="exact"/>
        <w:ind w:firstLine="640"/>
        <w:jc w:val="both"/>
        <w:outlineLvl w:val="2"/>
      </w:pPr>
      <w:r>
        <w:rPr>
          <w:rFonts w:ascii="黑体" w:hAnsi="黑体" w:eastAsia="黑体"/>
          <w:sz w:val="32"/>
        </w:rPr>
        <w:t>七、政府性基金预算财政拨款收入支出决算情况说明</w:t>
      </w:r>
    </w:p>
    <w:p w14:paraId="38A50127">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8FD408B">
      <w:pPr>
        <w:spacing w:line="640" w:lineRule="exact"/>
        <w:ind w:firstLine="640"/>
        <w:jc w:val="both"/>
        <w:outlineLvl w:val="2"/>
      </w:pPr>
      <w:r>
        <w:rPr>
          <w:rFonts w:ascii="黑体" w:hAnsi="黑体" w:eastAsia="黑体"/>
          <w:sz w:val="32"/>
        </w:rPr>
        <w:t>八、国有资本经营预算财政拨款收入支出决算情况说明</w:t>
      </w:r>
    </w:p>
    <w:p w14:paraId="65B9275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00F187E">
      <w:pPr>
        <w:spacing w:line="640" w:lineRule="exact"/>
        <w:ind w:firstLine="640"/>
        <w:jc w:val="both"/>
        <w:outlineLvl w:val="2"/>
      </w:pPr>
      <w:r>
        <w:rPr>
          <w:rFonts w:ascii="黑体" w:hAnsi="黑体" w:eastAsia="黑体"/>
          <w:sz w:val="32"/>
        </w:rPr>
        <w:t>九、财政拨款“三公”经费支出决算情况说明</w:t>
      </w:r>
    </w:p>
    <w:p w14:paraId="3418AEF5">
      <w:pPr>
        <w:spacing w:line="580" w:lineRule="exact"/>
        <w:ind w:firstLine="640"/>
        <w:jc w:val="both"/>
      </w:pPr>
      <w:r>
        <w:rPr>
          <w:rFonts w:ascii="仿宋_GB2312" w:hAnsi="仿宋_GB2312" w:eastAsia="仿宋_GB2312"/>
          <w:b/>
          <w:sz w:val="32"/>
        </w:rPr>
        <w:t>2024年度财政拨款“三公”经费支出0.15万元，</w:t>
      </w:r>
      <w:r>
        <w:rPr>
          <w:rFonts w:ascii="仿宋_GB2312" w:hAnsi="仿宋_GB2312" w:eastAsia="仿宋_GB2312"/>
          <w:b w:val="0"/>
          <w:sz w:val="32"/>
        </w:rPr>
        <w:t>比上年增加0.15万元，增长100.00%，主要原因是：本年因业务需求，用车次数增加，燃油费增加。其中：因公出国（境）费支出0.00万元，占0.00%，比上年增加0.00万元，增长0.00%，主要原因是：2023年与2024年均未安排因公出国（境）费支出。公务用车购置及运行维护费支出0.15万元，占100.00%，比上年增加0.15万元，增长100.00%，主要原因是：本年因业务需求，用车次数增加，燃油费增加。公务接待费支出0.00万元，占0.00%，比上年增加0.00万元，增长0.00%，主要原因是：2023年与2024年均未安排公务接待费支出。</w:t>
      </w:r>
    </w:p>
    <w:p w14:paraId="05933B08">
      <w:pPr>
        <w:spacing w:line="580" w:lineRule="exact"/>
        <w:ind w:firstLine="640"/>
        <w:jc w:val="both"/>
      </w:pPr>
      <w:r>
        <w:rPr>
          <w:rFonts w:ascii="仿宋_GB2312" w:hAnsi="仿宋_GB2312" w:eastAsia="仿宋_GB2312"/>
          <w:b/>
          <w:sz w:val="32"/>
        </w:rPr>
        <w:t>具体情况如下：</w:t>
      </w:r>
    </w:p>
    <w:p w14:paraId="3CA87AC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04B6835">
      <w:pPr>
        <w:spacing w:line="580" w:lineRule="exact"/>
        <w:ind w:firstLine="640"/>
        <w:jc w:val="both"/>
      </w:pPr>
      <w:r>
        <w:rPr>
          <w:rFonts w:ascii="仿宋_GB2312" w:hAnsi="仿宋_GB2312" w:eastAsia="仿宋_GB2312"/>
          <w:b w:val="0"/>
          <w:sz w:val="32"/>
        </w:rPr>
        <w:t>公务用车购置及运行维护费0.15万元，其中：公务用车购置费0.00万元，公务用车运行维护费0.15万元。公务用车运行维护费开支内容包括车辆加油费。公务用车购置数0辆，公务用车保有量1辆。国有资产占用情况中固定资产车辆0辆，与公务用车保有量差异原因是：借用其他单位车辆，车辆费用由本单位支付。</w:t>
      </w:r>
    </w:p>
    <w:p w14:paraId="2F68A74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57B234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0.15万元，决算数0.15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0.15万元，决算数0.15万元，预决算差异率0.00%，主要原因是：严格按照预算执行，预决算无差异。公务接待费全年预算数0.00万元，决算数0.00万元，预决算差异率0.00%，主要原因是：本单位无公务接待费。</w:t>
      </w:r>
    </w:p>
    <w:p w14:paraId="7AAF0AFF">
      <w:pPr>
        <w:spacing w:line="640" w:lineRule="exact"/>
        <w:ind w:firstLine="640"/>
        <w:jc w:val="both"/>
        <w:outlineLvl w:val="2"/>
      </w:pPr>
      <w:r>
        <w:rPr>
          <w:rFonts w:ascii="黑体" w:hAnsi="黑体" w:eastAsia="黑体"/>
          <w:sz w:val="32"/>
        </w:rPr>
        <w:t>十、其他重要事项的情况说明</w:t>
      </w:r>
    </w:p>
    <w:p w14:paraId="38087B8B">
      <w:pPr>
        <w:spacing w:line="640" w:lineRule="exact"/>
        <w:ind w:firstLine="640"/>
        <w:jc w:val="both"/>
        <w:outlineLvl w:val="3"/>
      </w:pPr>
      <w:r>
        <w:rPr>
          <w:rFonts w:ascii="楷体_GB2312" w:hAnsi="楷体_GB2312" w:eastAsia="楷体_GB2312"/>
          <w:b/>
          <w:sz w:val="32"/>
        </w:rPr>
        <w:t>（一）机关运行经费及公用经费支出情况</w:t>
      </w:r>
    </w:p>
    <w:p w14:paraId="5AF1EA13">
      <w:pPr>
        <w:spacing w:line="580" w:lineRule="exact"/>
        <w:ind w:firstLine="640"/>
        <w:jc w:val="both"/>
      </w:pPr>
      <w:r>
        <w:rPr>
          <w:rFonts w:ascii="仿宋_GB2312" w:hAnsi="仿宋_GB2312" w:eastAsia="仿宋_GB2312"/>
          <w:b w:val="0"/>
          <w:sz w:val="32"/>
        </w:rPr>
        <w:t>2024年度阿图什市阿湖乡社会保障（民政）服务中心（退役军人服务站）（事业单位）公用经费支出0.90万元，比上年增加0.00万元，增长0.00%，主要原因是：本年此经费为办公经费，与上年相比无变化。</w:t>
      </w:r>
    </w:p>
    <w:p w14:paraId="70A50932">
      <w:pPr>
        <w:spacing w:line="640" w:lineRule="exact"/>
        <w:ind w:firstLine="640"/>
        <w:jc w:val="both"/>
        <w:outlineLvl w:val="3"/>
      </w:pPr>
      <w:r>
        <w:rPr>
          <w:rFonts w:ascii="楷体_GB2312" w:hAnsi="楷体_GB2312" w:eastAsia="楷体_GB2312"/>
          <w:b/>
          <w:sz w:val="32"/>
        </w:rPr>
        <w:t>（二）政府采购情况</w:t>
      </w:r>
    </w:p>
    <w:p w14:paraId="7DBC85B0">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2E758786">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19AD42D3">
      <w:pPr>
        <w:spacing w:line="640" w:lineRule="exact"/>
        <w:ind w:firstLine="640"/>
        <w:jc w:val="both"/>
        <w:outlineLvl w:val="3"/>
      </w:pPr>
      <w:r>
        <w:rPr>
          <w:rFonts w:ascii="楷体_GB2312" w:hAnsi="楷体_GB2312" w:eastAsia="楷体_GB2312"/>
          <w:b/>
          <w:sz w:val="32"/>
        </w:rPr>
        <w:t>（三）国有资产占用情况说明</w:t>
      </w:r>
    </w:p>
    <w:p w14:paraId="44BD41E5">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629A4D7C">
      <w:pPr>
        <w:spacing w:line="640" w:lineRule="exact"/>
        <w:ind w:firstLine="640"/>
        <w:jc w:val="both"/>
        <w:outlineLvl w:val="2"/>
      </w:pPr>
      <w:r>
        <w:rPr>
          <w:rFonts w:ascii="黑体" w:hAnsi="黑体" w:eastAsia="黑体"/>
          <w:sz w:val="32"/>
        </w:rPr>
        <w:t>十一、预算绩效的情况说明</w:t>
      </w:r>
    </w:p>
    <w:p w14:paraId="13BD838C">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绩效自评项目。发现的问题及原因：本单位无绩效自评项目。下一步改进措施：本单位无绩效自评项目。</w:t>
      </w:r>
    </w:p>
    <w:p w14:paraId="7EDD52F1">
      <w:r>
        <w:br w:type="page"/>
      </w:r>
    </w:p>
    <w:p w14:paraId="189A0CF1">
      <w:pPr>
        <w:spacing w:line="640" w:lineRule="exact"/>
        <w:ind w:firstLine="640"/>
        <w:jc w:val="both"/>
        <w:outlineLvl w:val="2"/>
      </w:pPr>
      <w:r>
        <w:rPr>
          <w:rFonts w:ascii="黑体" w:hAnsi="黑体" w:eastAsia="黑体"/>
          <w:sz w:val="32"/>
        </w:rPr>
        <w:t>十二、其他需说明的事项</w:t>
      </w:r>
    </w:p>
    <w:p w14:paraId="3925D597">
      <w:pPr>
        <w:spacing w:line="580" w:lineRule="exact"/>
        <w:ind w:firstLine="640"/>
        <w:jc w:val="both"/>
        <w:rPr>
          <w:rFonts w:hint="eastAsia" w:ascii="仿宋_GB2312" w:hAnsi="仿宋_GB2312" w:eastAsia="仿宋_GB2312"/>
          <w:b w:val="0"/>
          <w:sz w:val="32"/>
          <w:lang w:eastAsia="zh-CN"/>
        </w:rPr>
      </w:pPr>
      <w:r>
        <w:rPr>
          <w:rFonts w:hint="eastAsia" w:ascii="仿宋_GB2312" w:hAnsi="仿宋_GB2312" w:eastAsia="仿宋_GB2312"/>
          <w:b w:val="0"/>
          <w:sz w:val="32"/>
        </w:rPr>
        <w:t>本单位2024年度无政府采购支出，授予中小企业合同金额0.00万元</w:t>
      </w:r>
      <w:r>
        <w:rPr>
          <w:rFonts w:hint="eastAsia" w:ascii="仿宋_GB2312" w:hAnsi="仿宋_GB2312" w:eastAsia="仿宋_GB2312"/>
          <w:b w:val="0"/>
          <w:sz w:val="32"/>
          <w:lang w:eastAsia="zh-CN"/>
        </w:rPr>
        <w:t>。</w:t>
      </w:r>
    </w:p>
    <w:p w14:paraId="732926AC">
      <w:pPr>
        <w:spacing w:line="580" w:lineRule="exact"/>
        <w:ind w:firstLine="640"/>
        <w:jc w:val="both"/>
      </w:pPr>
      <w:r>
        <w:rPr>
          <w:rFonts w:ascii="仿宋_GB2312" w:hAnsi="仿宋_GB2312" w:eastAsia="仿宋_GB2312"/>
          <w:b w:val="0"/>
          <w:sz w:val="32"/>
        </w:rPr>
        <w:t>本年度本单位整体绩效自评表由阿图什市阿湖乡人民政府编报并公开。</w:t>
      </w:r>
      <w:bookmarkStart w:id="0" w:name="_GoBack"/>
      <w:bookmarkEnd w:id="0"/>
    </w:p>
    <w:p w14:paraId="4FA88A79">
      <w:r>
        <w:br w:type="page"/>
      </w:r>
    </w:p>
    <w:p w14:paraId="584EB204">
      <w:pPr>
        <w:spacing w:line="240" w:lineRule="auto"/>
        <w:jc w:val="center"/>
        <w:outlineLvl w:val="1"/>
      </w:pPr>
      <w:r>
        <w:rPr>
          <w:rFonts w:ascii="黑体" w:hAnsi="黑体" w:eastAsia="黑体"/>
          <w:sz w:val="32"/>
        </w:rPr>
        <w:t>第三部分 专业名词解释</w:t>
      </w:r>
    </w:p>
    <w:p w14:paraId="1534E31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07E271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5434D6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8FCD57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7F5B5D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79BEB0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31CFD1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69ECE3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6AE80A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ADA735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3BA1F8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453B18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7649EC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B31C29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1CCA516">
      <w:r>
        <w:br w:type="page"/>
      </w:r>
    </w:p>
    <w:p w14:paraId="2C4F67A3">
      <w:pPr>
        <w:spacing w:line="240" w:lineRule="auto"/>
        <w:jc w:val="center"/>
        <w:outlineLvl w:val="1"/>
      </w:pPr>
      <w:r>
        <w:rPr>
          <w:rFonts w:ascii="黑体" w:hAnsi="黑体" w:eastAsia="黑体"/>
          <w:sz w:val="32"/>
        </w:rPr>
        <w:t>第四部分 部门决算报表（见附表）</w:t>
      </w:r>
    </w:p>
    <w:p w14:paraId="7E591B83">
      <w:pPr>
        <w:spacing w:line="240" w:lineRule="auto"/>
        <w:ind w:firstLine="640"/>
        <w:jc w:val="both"/>
      </w:pPr>
      <w:r>
        <w:rPr>
          <w:rFonts w:ascii="仿宋_GB2312" w:hAnsi="仿宋_GB2312" w:eastAsia="仿宋_GB2312"/>
          <w:b w:val="0"/>
          <w:sz w:val="32"/>
        </w:rPr>
        <w:t>一、《收入支出决算总表》</w:t>
      </w:r>
    </w:p>
    <w:p w14:paraId="3F1DBDC2">
      <w:pPr>
        <w:spacing w:line="240" w:lineRule="auto"/>
        <w:ind w:firstLine="640"/>
        <w:jc w:val="both"/>
      </w:pPr>
      <w:r>
        <w:rPr>
          <w:rFonts w:ascii="仿宋_GB2312" w:hAnsi="仿宋_GB2312" w:eastAsia="仿宋_GB2312"/>
          <w:b w:val="0"/>
          <w:sz w:val="32"/>
        </w:rPr>
        <w:t>二、《收入决算表》</w:t>
      </w:r>
    </w:p>
    <w:p w14:paraId="045C6A48">
      <w:pPr>
        <w:spacing w:line="240" w:lineRule="auto"/>
        <w:ind w:firstLine="640"/>
        <w:jc w:val="both"/>
      </w:pPr>
      <w:r>
        <w:rPr>
          <w:rFonts w:ascii="仿宋_GB2312" w:hAnsi="仿宋_GB2312" w:eastAsia="仿宋_GB2312"/>
          <w:b w:val="0"/>
          <w:sz w:val="32"/>
        </w:rPr>
        <w:t>三、《支出决算表》</w:t>
      </w:r>
    </w:p>
    <w:p w14:paraId="240530C7">
      <w:pPr>
        <w:spacing w:line="240" w:lineRule="auto"/>
        <w:ind w:firstLine="640"/>
        <w:jc w:val="both"/>
      </w:pPr>
      <w:r>
        <w:rPr>
          <w:rFonts w:ascii="仿宋_GB2312" w:hAnsi="仿宋_GB2312" w:eastAsia="仿宋_GB2312"/>
          <w:b w:val="0"/>
          <w:sz w:val="32"/>
        </w:rPr>
        <w:t>四、《财政拨款收入支出决算总表》</w:t>
      </w:r>
    </w:p>
    <w:p w14:paraId="40776E1A">
      <w:pPr>
        <w:spacing w:line="240" w:lineRule="auto"/>
        <w:ind w:firstLine="640"/>
        <w:jc w:val="both"/>
      </w:pPr>
      <w:r>
        <w:rPr>
          <w:rFonts w:ascii="仿宋_GB2312" w:hAnsi="仿宋_GB2312" w:eastAsia="仿宋_GB2312"/>
          <w:b w:val="0"/>
          <w:sz w:val="32"/>
        </w:rPr>
        <w:t>五、《一般公共预算财政拨款支出决算表》</w:t>
      </w:r>
    </w:p>
    <w:p w14:paraId="68753F71">
      <w:pPr>
        <w:spacing w:line="240" w:lineRule="auto"/>
        <w:ind w:firstLine="640"/>
        <w:jc w:val="both"/>
      </w:pPr>
      <w:r>
        <w:rPr>
          <w:rFonts w:ascii="仿宋_GB2312" w:hAnsi="仿宋_GB2312" w:eastAsia="仿宋_GB2312"/>
          <w:b w:val="0"/>
          <w:sz w:val="32"/>
        </w:rPr>
        <w:t>六、《一般公共预算财政拨款基本支出决算表》</w:t>
      </w:r>
    </w:p>
    <w:p w14:paraId="300FCE4B">
      <w:pPr>
        <w:spacing w:line="240" w:lineRule="auto"/>
        <w:ind w:firstLine="640"/>
        <w:jc w:val="both"/>
      </w:pPr>
      <w:r>
        <w:rPr>
          <w:rFonts w:ascii="仿宋_GB2312" w:hAnsi="仿宋_GB2312" w:eastAsia="仿宋_GB2312"/>
          <w:b w:val="0"/>
          <w:sz w:val="32"/>
        </w:rPr>
        <w:t>七、《政府性基金预算财政拨款收入支出决算表》</w:t>
      </w:r>
    </w:p>
    <w:p w14:paraId="66C18950">
      <w:pPr>
        <w:spacing w:line="240" w:lineRule="auto"/>
        <w:ind w:firstLine="640"/>
        <w:jc w:val="both"/>
      </w:pPr>
      <w:r>
        <w:rPr>
          <w:rFonts w:ascii="仿宋_GB2312" w:hAnsi="仿宋_GB2312" w:eastAsia="仿宋_GB2312"/>
          <w:b w:val="0"/>
          <w:sz w:val="32"/>
        </w:rPr>
        <w:t>八、《国有资本经营预算财政拨款收入支出决算表》</w:t>
      </w:r>
    </w:p>
    <w:p w14:paraId="462B31F3">
      <w:pPr>
        <w:spacing w:line="240" w:lineRule="auto"/>
        <w:ind w:firstLine="640"/>
        <w:jc w:val="both"/>
      </w:pPr>
      <w:r>
        <w:rPr>
          <w:rFonts w:ascii="仿宋_GB2312" w:hAnsi="仿宋_GB2312" w:eastAsia="仿宋_GB2312"/>
          <w:b w:val="0"/>
          <w:sz w:val="32"/>
        </w:rPr>
        <w:t>九、《财政拨款“三公”经费支出决算表》</w:t>
      </w:r>
    </w:p>
    <w:p w14:paraId="207F0C18">
      <w:pPr>
        <w:spacing w:line="240" w:lineRule="auto"/>
        <w:ind w:firstLine="640"/>
        <w:jc w:val="both"/>
      </w:pPr>
    </w:p>
    <w:p w14:paraId="7A8485E3">
      <w:pPr>
        <w:spacing w:line="240" w:lineRule="auto"/>
        <w:ind w:firstLine="640"/>
        <w:jc w:val="both"/>
      </w:pPr>
    </w:p>
    <w:p w14:paraId="4D94BB9D">
      <w:pPr>
        <w:spacing w:line="240" w:lineRule="auto"/>
        <w:ind w:firstLine="640"/>
        <w:jc w:val="both"/>
      </w:pPr>
    </w:p>
    <w:p w14:paraId="7DDFDD9E">
      <w:pPr>
        <w:spacing w:line="240" w:lineRule="auto"/>
        <w:ind w:firstLine="640"/>
        <w:jc w:val="both"/>
      </w:pPr>
    </w:p>
    <w:p w14:paraId="0E3E13B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7C007B2-BDA5-4153-9F26-D4F0C78A562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1693B68D-F024-47D0-BA04-D3D7A816B6F9}"/>
  </w:font>
  <w:font w:name="方正小标宋_GBK">
    <w:panose1 w:val="02000000000000000000"/>
    <w:charset w:val="86"/>
    <w:family w:val="script"/>
    <w:pitch w:val="default"/>
    <w:sig w:usb0="A00002BF" w:usb1="38CF7CFA" w:usb2="00082016" w:usb3="00000000" w:csb0="00040001" w:csb1="00000000"/>
    <w:embedRegular r:id="rId3" w:fontKey="{072933F1-B4A1-4240-B3A2-712129CBE39F}"/>
  </w:font>
  <w:font w:name="楷体_GB2312">
    <w:altName w:val="楷体"/>
    <w:panose1 w:val="00000000000000000000"/>
    <w:charset w:val="00"/>
    <w:family w:val="auto"/>
    <w:pitch w:val="default"/>
    <w:sig w:usb0="00000000" w:usb1="00000000" w:usb2="00000000" w:usb3="00000000" w:csb0="00000000" w:csb1="00000000"/>
    <w:embedRegular r:id="rId4" w:fontKey="{B83A1165-ECC1-4419-8306-DEA96F43396A}"/>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68E1A96"/>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2A661AD"/>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4853</Words>
  <Characters>5372</Characters>
  <Lines>0</Lines>
  <Paragraphs>0</Paragraphs>
  <TotalTime>1</TotalTime>
  <ScaleCrop>false</ScaleCrop>
  <LinksUpToDate>false</LinksUpToDate>
  <CharactersWithSpaces>5382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2025-09-08T04:35:33Z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