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阿图什市第十幼儿园2024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5CD327A">
      <w:r>
        <w:br w:type="page"/>
      </w:r>
    </w:p>
    <w:p w14:paraId="5E714C0A">
      <w:pPr>
        <w:spacing w:line="640" w:lineRule="exact"/>
        <w:jc w:val="center"/>
        <w:outlineLvl w:val="1"/>
      </w:pPr>
      <w:r>
        <w:rPr>
          <w:rFonts w:ascii="黑体" w:hAnsi="黑体" w:eastAsia="黑体"/>
          <w:sz w:val="32"/>
        </w:rPr>
        <w:t>第一部分 单位概况</w:t>
      </w:r>
    </w:p>
    <w:p w14:paraId="6F42AB50">
      <w:pPr>
        <w:spacing w:line="640" w:lineRule="exact"/>
        <w:ind w:firstLine="640"/>
        <w:jc w:val="both"/>
        <w:outlineLvl w:val="2"/>
      </w:pPr>
      <w:r>
        <w:rPr>
          <w:rFonts w:ascii="黑体" w:hAnsi="黑体" w:eastAsia="黑体"/>
          <w:sz w:val="32"/>
        </w:rPr>
        <w:t>一、主要职能</w:t>
      </w:r>
    </w:p>
    <w:p w14:paraId="715CE416">
      <w:pPr>
        <w:spacing w:line="580" w:lineRule="exact"/>
        <w:ind w:firstLine="640"/>
        <w:jc w:val="both"/>
        <w:rPr>
          <w:rFonts w:hint="eastAsia" w:ascii="仿宋_GB2312" w:hAnsi="仿宋_GB2312" w:eastAsia="仿宋_GB2312"/>
          <w:sz w:val="32"/>
          <w:lang w:eastAsia="zh-CN"/>
        </w:rPr>
      </w:pPr>
      <w:r>
        <w:rPr>
          <w:rFonts w:hint="eastAsia" w:ascii="仿宋_GB2312" w:hAnsi="仿宋_GB2312" w:eastAsia="仿宋_GB2312"/>
          <w:sz w:val="32"/>
        </w:rPr>
        <w:t>1、认真贯彻《幼儿园管理条例》《幼儿园教育指导纲要》</w:t>
      </w:r>
      <w:bookmarkStart w:id="0" w:name="_GoBack"/>
      <w:bookmarkEnd w:id="0"/>
      <w:r>
        <w:rPr>
          <w:rFonts w:hint="eastAsia" w:ascii="仿宋_GB2312" w:hAnsi="仿宋_GB2312" w:eastAsia="仿宋_GB2312"/>
          <w:sz w:val="32"/>
        </w:rPr>
        <w:t>《幼儿园工作规程》，规范幼儿园各项工作</w:t>
      </w:r>
      <w:r>
        <w:rPr>
          <w:rFonts w:hint="eastAsia" w:ascii="仿宋_GB2312" w:hAnsi="仿宋_GB2312" w:eastAsia="仿宋_GB2312"/>
          <w:sz w:val="32"/>
          <w:lang w:eastAsia="zh-CN"/>
        </w:rPr>
        <w:t>。</w:t>
      </w:r>
    </w:p>
    <w:p w14:paraId="7EDDFC15">
      <w:pPr>
        <w:spacing w:line="580" w:lineRule="exact"/>
        <w:ind w:firstLine="640"/>
        <w:jc w:val="both"/>
        <w:rPr>
          <w:rFonts w:hint="eastAsia" w:ascii="仿宋_GB2312" w:hAnsi="仿宋_GB2312" w:eastAsia="仿宋_GB2312"/>
          <w:sz w:val="32"/>
          <w:lang w:eastAsia="zh-CN"/>
        </w:rPr>
      </w:pPr>
      <w:r>
        <w:rPr>
          <w:rFonts w:hint="eastAsia" w:ascii="仿宋_GB2312" w:hAnsi="仿宋_GB2312" w:eastAsia="仿宋_GB2312"/>
          <w:sz w:val="32"/>
        </w:rPr>
        <w:t>2、与家庭、社区密切合作，与小学互相衔接，综合利用各种教育资源，共同为幼儿的发展创造良好的条件</w:t>
      </w:r>
      <w:r>
        <w:rPr>
          <w:rFonts w:hint="eastAsia" w:ascii="仿宋_GB2312" w:hAnsi="仿宋_GB2312" w:eastAsia="仿宋_GB2312"/>
          <w:sz w:val="32"/>
          <w:lang w:eastAsia="zh-CN"/>
        </w:rPr>
        <w:t>。</w:t>
      </w:r>
    </w:p>
    <w:p w14:paraId="36F666E5">
      <w:pPr>
        <w:spacing w:line="580" w:lineRule="exact"/>
        <w:ind w:firstLine="640"/>
        <w:jc w:val="both"/>
      </w:pPr>
      <w:r>
        <w:rPr>
          <w:rFonts w:hint="eastAsia" w:ascii="仿宋_GB2312" w:hAnsi="仿宋_GB2312" w:eastAsia="仿宋_GB2312"/>
          <w:sz w:val="32"/>
        </w:rPr>
        <w:t>3、从实际出发，实施素质教育，为幼儿发展打下好基础。</w:t>
      </w:r>
    </w:p>
    <w:p w14:paraId="7AEAF813">
      <w:pPr>
        <w:spacing w:line="640" w:lineRule="exact"/>
        <w:ind w:firstLine="640"/>
        <w:jc w:val="both"/>
        <w:outlineLvl w:val="2"/>
      </w:pPr>
      <w:r>
        <w:rPr>
          <w:rFonts w:ascii="黑体" w:hAnsi="黑体" w:eastAsia="黑体"/>
          <w:sz w:val="32"/>
        </w:rPr>
        <w:t>二、机构设置及人员情况</w:t>
      </w:r>
    </w:p>
    <w:p w14:paraId="4A1CE501">
      <w:pPr>
        <w:spacing w:line="580" w:lineRule="exact"/>
        <w:ind w:firstLine="640"/>
        <w:jc w:val="both"/>
      </w:pPr>
      <w:r>
        <w:rPr>
          <w:rFonts w:ascii="仿宋_GB2312" w:hAnsi="仿宋_GB2312" w:eastAsia="仿宋_GB2312"/>
          <w:sz w:val="32"/>
        </w:rPr>
        <w:t>阿图什市第十幼儿园2024年度，实有人数12人，其中：在职人员12人，增加0人；离休人员0人，增加0人；退休人员0人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14:paraId="08BBACD5">
      <w:pPr>
        <w:spacing w:line="580" w:lineRule="exact"/>
        <w:ind w:firstLine="640"/>
        <w:jc w:val="both"/>
      </w:pPr>
      <w:r>
        <w:rPr>
          <w:rFonts w:ascii="仿宋_GB2312" w:hAnsi="仿宋_GB2312" w:eastAsia="仿宋_GB2312"/>
          <w:sz w:val="32"/>
        </w:rPr>
        <w:t>阿图什市第十幼儿园无下属预算单位，下设2个科室，分别是：办公室、财务室。</w:t>
      </w:r>
    </w:p>
    <w:p w14:paraId="17B04BCE">
      <w:r>
        <w:br w:type="page"/>
      </w:r>
    </w:p>
    <w:p w14:paraId="3A5A9F72">
      <w:pPr>
        <w:spacing w:line="240" w:lineRule="auto"/>
        <w:jc w:val="center"/>
        <w:outlineLvl w:val="1"/>
      </w:pPr>
      <w:r>
        <w:rPr>
          <w:rFonts w:ascii="黑体" w:hAnsi="黑体" w:eastAsia="黑体"/>
          <w:sz w:val="32"/>
        </w:rPr>
        <w:t>第二部分 部门决算情况说明</w:t>
      </w:r>
    </w:p>
    <w:p w14:paraId="5CC64EA6">
      <w:pPr>
        <w:spacing w:line="640" w:lineRule="exact"/>
        <w:ind w:firstLine="640"/>
        <w:jc w:val="both"/>
        <w:outlineLvl w:val="2"/>
      </w:pPr>
      <w:r>
        <w:rPr>
          <w:rFonts w:ascii="黑体" w:hAnsi="黑体" w:eastAsia="黑体"/>
          <w:sz w:val="32"/>
        </w:rPr>
        <w:t>一、收入支出决算总体情况说明</w:t>
      </w:r>
    </w:p>
    <w:p w14:paraId="261ECF00">
      <w:pPr>
        <w:spacing w:line="580" w:lineRule="exact"/>
        <w:ind w:firstLine="640"/>
        <w:jc w:val="both"/>
      </w:pPr>
      <w:r>
        <w:rPr>
          <w:rFonts w:ascii="仿宋_GB2312" w:hAnsi="仿宋_GB2312" w:eastAsia="仿宋_GB2312"/>
          <w:b/>
          <w:sz w:val="32"/>
        </w:rPr>
        <w:t>2024年度收入总计184.82万元，</w:t>
      </w:r>
      <w:r>
        <w:rPr>
          <w:rFonts w:ascii="仿宋_GB2312" w:hAnsi="仿宋_GB2312" w:eastAsia="仿宋_GB2312"/>
          <w:b w:val="0"/>
          <w:sz w:val="32"/>
        </w:rPr>
        <w:t>其中：本年收入合计184.82万元，使用非财政拨款结余（含专用结余）0.00万元，年初结转和结余0.00万元。</w:t>
      </w:r>
    </w:p>
    <w:p w14:paraId="1612A282">
      <w:pPr>
        <w:spacing w:line="580" w:lineRule="exact"/>
        <w:ind w:firstLine="640"/>
        <w:jc w:val="both"/>
      </w:pPr>
      <w:r>
        <w:rPr>
          <w:rFonts w:ascii="仿宋_GB2312" w:hAnsi="仿宋_GB2312" w:eastAsia="仿宋_GB2312"/>
          <w:b/>
          <w:sz w:val="32"/>
        </w:rPr>
        <w:t>2024年度支出总计184.82万元，</w:t>
      </w:r>
      <w:r>
        <w:rPr>
          <w:rFonts w:ascii="仿宋_GB2312" w:hAnsi="仿宋_GB2312" w:eastAsia="仿宋_GB2312"/>
          <w:b w:val="0"/>
          <w:sz w:val="32"/>
        </w:rPr>
        <w:t>其中：本年支出合计184.81万元，结余分配0.00万元，年末结转和结余0.01万元。</w:t>
      </w:r>
    </w:p>
    <w:p w14:paraId="7F0656BF">
      <w:pPr>
        <w:spacing w:line="580" w:lineRule="exact"/>
        <w:ind w:firstLine="640"/>
        <w:jc w:val="both"/>
      </w:pPr>
      <w:r>
        <w:rPr>
          <w:rFonts w:ascii="仿宋_GB2312" w:hAnsi="仿宋_GB2312" w:eastAsia="仿宋_GB2312"/>
          <w:b w:val="0"/>
          <w:sz w:val="32"/>
        </w:rPr>
        <w:t>收入支出总体与上年相比，减少8.55万元，下降4.42%，主要原因是：本年度幼儿人数减少，学前保教费、学前伙食费项目资金较上年减少。</w:t>
      </w:r>
    </w:p>
    <w:p w14:paraId="460133B4">
      <w:pPr>
        <w:spacing w:line="640" w:lineRule="exact"/>
        <w:ind w:firstLine="640"/>
        <w:jc w:val="both"/>
        <w:outlineLvl w:val="2"/>
      </w:pPr>
      <w:r>
        <w:rPr>
          <w:rFonts w:ascii="黑体" w:hAnsi="黑体" w:eastAsia="黑体"/>
          <w:sz w:val="32"/>
        </w:rPr>
        <w:t>二、收入决算情况说明</w:t>
      </w:r>
    </w:p>
    <w:p w14:paraId="3F91C326">
      <w:pPr>
        <w:spacing w:line="580" w:lineRule="exact"/>
        <w:ind w:firstLine="640"/>
        <w:jc w:val="both"/>
      </w:pPr>
      <w:r>
        <w:rPr>
          <w:rFonts w:ascii="仿宋_GB2312" w:hAnsi="仿宋_GB2312" w:eastAsia="仿宋_GB2312"/>
          <w:b/>
          <w:sz w:val="32"/>
        </w:rPr>
        <w:t>本年收入184.82万元，</w:t>
      </w:r>
      <w:r>
        <w:rPr>
          <w:rFonts w:ascii="仿宋_GB2312" w:hAnsi="仿宋_GB2312" w:eastAsia="仿宋_GB2312"/>
          <w:b w:val="0"/>
          <w:sz w:val="32"/>
        </w:rPr>
        <w:t>其中：财政拨款收入184.81万元，占99.99%；上级补助收入0.00万元，占0.00%；事业收入0.00万元，占0.00%；经营收入0.00万元，占0.00%；附属单位上缴收入0.00万元，占0.00%；其他收入0.01万元，占0.005%。</w:t>
      </w:r>
    </w:p>
    <w:p w14:paraId="1597E00D">
      <w:pPr>
        <w:spacing w:line="640" w:lineRule="exact"/>
        <w:ind w:firstLine="640"/>
        <w:jc w:val="both"/>
        <w:outlineLvl w:val="2"/>
      </w:pPr>
      <w:r>
        <w:rPr>
          <w:rFonts w:ascii="黑体" w:hAnsi="黑体" w:eastAsia="黑体"/>
          <w:sz w:val="32"/>
        </w:rPr>
        <w:t>三、支出决算情况说明</w:t>
      </w:r>
    </w:p>
    <w:p w14:paraId="3B194279">
      <w:pPr>
        <w:spacing w:line="580" w:lineRule="exact"/>
        <w:ind w:firstLine="640"/>
        <w:jc w:val="both"/>
      </w:pPr>
      <w:r>
        <w:rPr>
          <w:rFonts w:ascii="仿宋_GB2312" w:hAnsi="仿宋_GB2312" w:eastAsia="仿宋_GB2312"/>
          <w:b/>
          <w:sz w:val="32"/>
        </w:rPr>
        <w:t>本年支出184.81万元，</w:t>
      </w:r>
      <w:r>
        <w:rPr>
          <w:rFonts w:ascii="仿宋_GB2312" w:hAnsi="仿宋_GB2312" w:eastAsia="仿宋_GB2312"/>
          <w:b w:val="0"/>
          <w:sz w:val="32"/>
        </w:rPr>
        <w:t>其中：基本支出170.44万元，占92.22%；项目支出14.37万元，占7.78%；上缴上级支出0.00万元，占0.00%；经营支出0.00万元，占0.00%；对附属单位补助支出0.00万元，占0.00%。</w:t>
      </w:r>
    </w:p>
    <w:p w14:paraId="2753263E">
      <w:pPr>
        <w:spacing w:line="640" w:lineRule="exact"/>
        <w:ind w:firstLine="640"/>
        <w:jc w:val="both"/>
        <w:outlineLvl w:val="2"/>
      </w:pPr>
      <w:r>
        <w:rPr>
          <w:rFonts w:ascii="黑体" w:hAnsi="黑体" w:eastAsia="黑体"/>
          <w:sz w:val="32"/>
        </w:rPr>
        <w:t>四、财政拨款收入支出决算总体情况说明</w:t>
      </w:r>
    </w:p>
    <w:p w14:paraId="09834628">
      <w:pPr>
        <w:spacing w:line="580" w:lineRule="exact"/>
        <w:ind w:firstLine="640"/>
        <w:jc w:val="both"/>
      </w:pPr>
      <w:r>
        <w:rPr>
          <w:rFonts w:ascii="仿宋_GB2312" w:hAnsi="仿宋_GB2312" w:eastAsia="仿宋_GB2312"/>
          <w:b/>
          <w:sz w:val="32"/>
        </w:rPr>
        <w:t>2024年度财政拨款收入总计184.81万元，</w:t>
      </w:r>
      <w:r>
        <w:rPr>
          <w:rFonts w:ascii="仿宋_GB2312" w:hAnsi="仿宋_GB2312" w:eastAsia="仿宋_GB2312"/>
          <w:b w:val="0"/>
          <w:sz w:val="32"/>
        </w:rPr>
        <w:t>其中：年初财政拨款结转和结余0.00万元，本年财政拨款收入184.81万元。</w:t>
      </w:r>
      <w:r>
        <w:rPr>
          <w:rFonts w:ascii="仿宋_GB2312" w:hAnsi="仿宋_GB2312" w:eastAsia="仿宋_GB2312"/>
          <w:b/>
          <w:sz w:val="32"/>
        </w:rPr>
        <w:t>财政拨款支出总计184.81万元，</w:t>
      </w:r>
      <w:r>
        <w:rPr>
          <w:rFonts w:ascii="仿宋_GB2312" w:hAnsi="仿宋_GB2312" w:eastAsia="仿宋_GB2312"/>
          <w:b w:val="0"/>
          <w:sz w:val="32"/>
        </w:rPr>
        <w:t>其中：年末财政拨款结转和结余0.00万元，本年财政拨款支出184.81万元。</w:t>
      </w:r>
    </w:p>
    <w:p w14:paraId="2389086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减少8.56万元，下降4.43%，主要原因是：本年度幼儿人数减少，学前保教费、学前伙食费项目资金较上年减少。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年初预算数193.69万元，决算数184.81万元，预决算差异率-4.58%，主要原因是：本年度幼儿人数减少，调减学前保教费、学前伙食费项目资金，导致预决算存在差异。</w:t>
      </w:r>
    </w:p>
    <w:p w14:paraId="03545753">
      <w:pPr>
        <w:spacing w:line="640" w:lineRule="exact"/>
        <w:ind w:firstLine="640"/>
        <w:jc w:val="both"/>
        <w:outlineLvl w:val="2"/>
      </w:pPr>
      <w:r>
        <w:rPr>
          <w:rFonts w:ascii="黑体" w:hAnsi="黑体" w:eastAsia="黑体"/>
          <w:sz w:val="32"/>
        </w:rPr>
        <w:t>五、一般公共预算财政拨款支出决算情况说明</w:t>
      </w:r>
    </w:p>
    <w:p w14:paraId="3BB6DEA4">
      <w:pPr>
        <w:spacing w:line="640" w:lineRule="exact"/>
        <w:ind w:firstLine="640"/>
        <w:jc w:val="both"/>
        <w:outlineLvl w:val="3"/>
      </w:pPr>
      <w:r>
        <w:rPr>
          <w:rFonts w:ascii="楷体_GB2312" w:hAnsi="楷体_GB2312" w:eastAsia="楷体_GB2312"/>
          <w:b/>
          <w:sz w:val="32"/>
        </w:rPr>
        <w:t>（一）一般公共预算财政拨款支出决算总体情况</w:t>
      </w:r>
    </w:p>
    <w:p w14:paraId="517182B2">
      <w:pPr>
        <w:spacing w:line="580" w:lineRule="exact"/>
        <w:ind w:firstLine="640"/>
        <w:jc w:val="both"/>
      </w:pPr>
      <w:r>
        <w:rPr>
          <w:rFonts w:ascii="仿宋_GB2312" w:hAnsi="仿宋_GB2312" w:eastAsia="仿宋_GB2312"/>
          <w:b/>
          <w:sz w:val="32"/>
        </w:rPr>
        <w:t>2024年度一般公共预算财政拨款支出184.81万元，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减少8.56万元，下降4.43%，主要原因是：本年度幼儿人数减少，学前保教费、学前伙食费项目资金较上年减少。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年初预算数193.69万元，决算数184.81万元，预决算差异率-4.58%，主要原因是：本年度幼儿人数减少，调减学前保教费、学前伙食费项目资金，导致预决算存在差异。</w:t>
      </w:r>
    </w:p>
    <w:p w14:paraId="5C8EAF0F">
      <w:pPr>
        <w:spacing w:line="640" w:lineRule="exact"/>
        <w:ind w:firstLine="640"/>
        <w:jc w:val="both"/>
        <w:outlineLvl w:val="3"/>
      </w:pPr>
      <w:r>
        <w:rPr>
          <w:rFonts w:ascii="楷体_GB2312" w:hAnsi="楷体_GB2312" w:eastAsia="楷体_GB2312"/>
          <w:b/>
          <w:sz w:val="32"/>
        </w:rPr>
        <w:t>（二）一般公共预算财政拨款支出决算结构情况</w:t>
      </w:r>
    </w:p>
    <w:p w14:paraId="4990F688">
      <w:pPr>
        <w:spacing w:line="580" w:lineRule="exact"/>
        <w:ind w:firstLine="640"/>
        <w:jc w:val="both"/>
      </w:pPr>
      <w:r>
        <w:rPr>
          <w:rFonts w:ascii="仿宋_GB2312" w:hAnsi="仿宋_GB2312" w:eastAsia="仿宋_GB2312"/>
          <w:b w:val="0"/>
          <w:sz w:val="32"/>
        </w:rPr>
        <w:t>1.教育支出(类)184.81万元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4F8AE28D">
      <w:pPr>
        <w:spacing w:line="640" w:lineRule="exact"/>
        <w:ind w:firstLine="640"/>
        <w:jc w:val="both"/>
        <w:outlineLvl w:val="3"/>
      </w:pPr>
      <w:r>
        <w:rPr>
          <w:rFonts w:ascii="楷体_GB2312" w:hAnsi="楷体_GB2312" w:eastAsia="楷体_GB2312"/>
          <w:b/>
          <w:sz w:val="32"/>
        </w:rPr>
        <w:t>（三）一般公共预算财政拨款支出决算具体情况</w:t>
      </w:r>
    </w:p>
    <w:p w14:paraId="677E4832">
      <w:pPr>
        <w:spacing w:line="580" w:lineRule="exact"/>
        <w:ind w:firstLine="640"/>
        <w:jc w:val="both"/>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支出决算数为181.08万元，比上年决算增加15.10万元，增长9.10%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主要原因是：本年在职人员工资调薪，工资等相关人员经费增加，本年功能科目调整，机关事业单位基本养老保险、住房公积金调整至本科目列支，相关支出增加。</w:t>
      </w:r>
    </w:p>
    <w:p w14:paraId="6D4DA3AC">
      <w:pPr>
        <w:spacing w:line="580" w:lineRule="exact"/>
        <w:ind w:firstLine="640"/>
        <w:jc w:val="both"/>
      </w:pPr>
      <w:r>
        <w:rPr>
          <w:rFonts w:ascii="仿宋_GB2312" w:hAnsi="仿宋_GB2312" w:eastAsia="仿宋_GB2312"/>
          <w:b w:val="0"/>
          <w:sz w:val="32"/>
        </w:rPr>
        <w:t>2.教育支出(类)教育费附加安排的支出(款)其他教育费附加安排的支出(项)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支出决算数为3.73万元，比上年决算增加3.73万元，增长100.00%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主要原因是：本年增加学校运转经费。</w:t>
      </w:r>
    </w:p>
    <w:p w14:paraId="15712BA1">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支出决算数为0.00万元，比上年决算减少14.90万元，下降100.00%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14:paraId="5A58D75B">
      <w:pPr>
        <w:spacing w:line="580" w:lineRule="exact"/>
        <w:ind w:firstLine="640"/>
        <w:jc w:val="both"/>
      </w:pPr>
      <w:r>
        <w:rPr>
          <w:rFonts w:ascii="仿宋_GB2312" w:hAnsi="仿宋_GB2312" w:eastAsia="仿宋_GB2312"/>
          <w:b w:val="0"/>
          <w:sz w:val="32"/>
        </w:rPr>
        <w:t>4.住房保障支出(类)住房改革支出(款)住房公积金(项)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支出决算数为0.00万元，比上年决算减少12.50万元，下降100.00%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主要原因是：本年功能科目调整，住房公积金上年度单独列支，本年调整至主科目列支，导致经费较上年减少。</w:t>
      </w:r>
    </w:p>
    <w:p w14:paraId="4239CCBB">
      <w:pPr>
        <w:spacing w:line="640" w:lineRule="exact"/>
        <w:ind w:firstLine="640"/>
        <w:jc w:val="both"/>
        <w:outlineLvl w:val="2"/>
      </w:pPr>
      <w:r>
        <w:rPr>
          <w:rFonts w:ascii="黑体" w:hAnsi="黑体" w:eastAsia="黑体"/>
          <w:sz w:val="32"/>
        </w:rPr>
        <w:t>六、一般公共预算财政拨款基本支出决算情况说明</w:t>
      </w:r>
    </w:p>
    <w:p w14:paraId="19414D3C">
      <w:pPr>
        <w:spacing w:line="580" w:lineRule="exact"/>
        <w:ind w:firstLine="640"/>
        <w:jc w:val="both"/>
      </w:pPr>
      <w:r>
        <w:rPr>
          <w:rFonts w:ascii="仿宋_GB2312" w:hAnsi="仿宋_GB2312" w:eastAsia="仿宋_GB2312"/>
          <w:b w:val="0"/>
          <w:sz w:val="32"/>
        </w:rPr>
        <w:t>2024年度一般公共预算财政拨款基本支出170.44万元，其中：</w:t>
      </w:r>
      <w:r>
        <w:rPr>
          <w:rFonts w:ascii="仿宋_GB2312" w:hAnsi="仿宋_GB2312" w:eastAsia="仿宋_GB2312"/>
          <w:b/>
          <w:sz w:val="32"/>
        </w:rPr>
        <w:t>人员经费170.44万元，</w:t>
      </w:r>
      <w:r>
        <w:rPr>
          <w:rFonts w:ascii="仿宋_GB2312" w:hAnsi="仿宋_GB2312" w:eastAsia="仿宋_GB2312"/>
          <w:b w:val="0"/>
          <w:sz w:val="32"/>
        </w:rPr>
        <w:t>包括：基本工资、津贴补贴、奖金、机关事业单位基本养老保险缴费、职工基本医疗保险缴费、其他社会保障缴费、住房公积金。</w:t>
      </w:r>
    </w:p>
    <w:p w14:paraId="7F963203">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A78F6A4">
      <w:pPr>
        <w:spacing w:line="640" w:lineRule="exact"/>
        <w:ind w:firstLine="640"/>
        <w:jc w:val="both"/>
        <w:outlineLvl w:val="2"/>
      </w:pPr>
      <w:r>
        <w:rPr>
          <w:rFonts w:ascii="黑体" w:hAnsi="黑体" w:eastAsia="黑体"/>
          <w:sz w:val="32"/>
        </w:rPr>
        <w:t>七、政府性基金预算财政拨款收入支出决算情况说明</w:t>
      </w:r>
    </w:p>
    <w:p w14:paraId="2734BCD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EAFE916">
      <w:pPr>
        <w:spacing w:line="640" w:lineRule="exact"/>
        <w:ind w:firstLine="640"/>
        <w:jc w:val="both"/>
        <w:outlineLvl w:val="2"/>
      </w:pPr>
      <w:r>
        <w:rPr>
          <w:rFonts w:ascii="黑体" w:hAnsi="黑体" w:eastAsia="黑体"/>
          <w:sz w:val="32"/>
        </w:rPr>
        <w:t>八、国有资本经营预算财政拨款收入支出决算情况说明</w:t>
      </w:r>
    </w:p>
    <w:p w14:paraId="277C4AD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4B6210">
      <w:pPr>
        <w:spacing w:line="640" w:lineRule="exact"/>
        <w:ind w:firstLine="640"/>
        <w:jc w:val="both"/>
        <w:outlineLvl w:val="2"/>
      </w:pPr>
      <w:r>
        <w:rPr>
          <w:rFonts w:ascii="黑体" w:hAnsi="黑体" w:eastAsia="黑体"/>
          <w:sz w:val="32"/>
        </w:rPr>
        <w:t>九、财政拨款“三公”经费支出决算情况说明</w:t>
      </w:r>
    </w:p>
    <w:p w14:paraId="7AA9CFC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5A297F1">
      <w:pPr>
        <w:spacing w:line="580" w:lineRule="exact"/>
        <w:ind w:firstLine="640"/>
        <w:jc w:val="both"/>
      </w:pPr>
      <w:r>
        <w:rPr>
          <w:rFonts w:ascii="仿宋_GB2312" w:hAnsi="仿宋_GB2312" w:eastAsia="仿宋_GB2312"/>
          <w:b/>
          <w:sz w:val="32"/>
        </w:rPr>
        <w:t>具体情况如下：</w:t>
      </w:r>
    </w:p>
    <w:p w14:paraId="4C4BDFB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D4D68D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21D3BB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3D6757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09DBF66">
      <w:pPr>
        <w:spacing w:line="640" w:lineRule="exact"/>
        <w:ind w:firstLine="640"/>
        <w:jc w:val="both"/>
        <w:outlineLvl w:val="2"/>
      </w:pPr>
      <w:r>
        <w:rPr>
          <w:rFonts w:ascii="黑体" w:hAnsi="黑体" w:eastAsia="黑体"/>
          <w:sz w:val="32"/>
        </w:rPr>
        <w:t>十、其他重要事项的情况说明</w:t>
      </w:r>
    </w:p>
    <w:p w14:paraId="7E3F6F7B">
      <w:pPr>
        <w:spacing w:line="640" w:lineRule="exact"/>
        <w:ind w:firstLine="640"/>
        <w:jc w:val="both"/>
        <w:outlineLvl w:val="3"/>
      </w:pPr>
      <w:r>
        <w:rPr>
          <w:rFonts w:ascii="楷体_GB2312" w:hAnsi="楷体_GB2312" w:eastAsia="楷体_GB2312"/>
          <w:b/>
          <w:sz w:val="32"/>
        </w:rPr>
        <w:t>（一）机关运行经费及公用经费支出情况</w:t>
      </w:r>
    </w:p>
    <w:p w14:paraId="1C78E8E5">
      <w:pPr>
        <w:spacing w:line="580" w:lineRule="exact"/>
        <w:ind w:firstLine="640"/>
        <w:jc w:val="both"/>
      </w:pPr>
      <w:r>
        <w:rPr>
          <w:rFonts w:ascii="仿宋_GB2312" w:hAnsi="仿宋_GB2312" w:eastAsia="仿宋_GB2312"/>
          <w:b w:val="0"/>
          <w:sz w:val="32"/>
        </w:rPr>
        <w:t>2024年度阿图什市第十幼儿园（事业单位）公用经费支出0.00万元，比上年增加0.00万元，增长0.00%，主要原因是：2023年与2024年均未安排公用经费支出。</w:t>
      </w:r>
    </w:p>
    <w:p w14:paraId="10FF83FC">
      <w:pPr>
        <w:spacing w:line="640" w:lineRule="exact"/>
        <w:ind w:firstLine="640"/>
        <w:jc w:val="both"/>
        <w:outlineLvl w:val="3"/>
      </w:pPr>
      <w:r>
        <w:rPr>
          <w:rFonts w:ascii="楷体_GB2312" w:hAnsi="楷体_GB2312" w:eastAsia="楷体_GB2312"/>
          <w:b/>
          <w:sz w:val="32"/>
        </w:rPr>
        <w:t>（二）政府采购情况</w:t>
      </w:r>
    </w:p>
    <w:p w14:paraId="338D7794">
      <w:pPr>
        <w:spacing w:line="580" w:lineRule="exact"/>
        <w:ind w:firstLine="640"/>
        <w:jc w:val="both"/>
      </w:pPr>
      <w:r>
        <w:rPr>
          <w:rFonts w:ascii="仿宋_GB2312" w:hAnsi="仿宋_GB2312" w:eastAsia="仿宋_GB2312"/>
          <w:b w:val="0"/>
          <w:sz w:val="32"/>
        </w:rPr>
        <w:t>2024年度政府采购支出总额3.38万元，其中：政府采购货物支出2.67万元、政府采购工程支出0.00万元、政府采购服务支出0.72万元。</w:t>
      </w:r>
    </w:p>
    <w:p w14:paraId="5B220652">
      <w:pPr>
        <w:spacing w:line="580" w:lineRule="exact"/>
        <w:ind w:firstLine="640"/>
        <w:jc w:val="both"/>
      </w:pPr>
      <w:r>
        <w:rPr>
          <w:rFonts w:ascii="仿宋_GB2312" w:hAnsi="仿宋_GB2312" w:eastAsia="仿宋_GB2312"/>
          <w:b w:val="0"/>
          <w:sz w:val="32"/>
        </w:rPr>
        <w:t>授予中小企业合同金额3.38万元，占政府采购支出总额的100.00%，其中：授予小微企业合同金额3.38万元，占政府采购支出总额的100.00%。</w:t>
      </w:r>
    </w:p>
    <w:p w14:paraId="32F3478E">
      <w:pPr>
        <w:spacing w:line="640" w:lineRule="exact"/>
        <w:ind w:firstLine="640"/>
        <w:jc w:val="both"/>
        <w:outlineLvl w:val="3"/>
      </w:pPr>
      <w:r>
        <w:rPr>
          <w:rFonts w:ascii="楷体_GB2312" w:hAnsi="楷体_GB2312" w:eastAsia="楷体_GB2312"/>
          <w:b/>
          <w:sz w:val="32"/>
        </w:rPr>
        <w:t>（三）国有资产占用情况说明</w:t>
      </w:r>
    </w:p>
    <w:p w14:paraId="524103A7">
      <w:pPr>
        <w:spacing w:line="580" w:lineRule="exact"/>
        <w:ind w:firstLine="640"/>
        <w:jc w:val="both"/>
      </w:pPr>
      <w:r>
        <w:rPr>
          <w:rFonts w:ascii="仿宋_GB2312" w:hAnsi="仿宋_GB2312" w:eastAsia="仿宋_GB2312"/>
          <w:b w:val="0"/>
          <w:sz w:val="32"/>
        </w:rPr>
        <w:t>截至2024年12月31日，房屋2,517.97平方米，价值478.19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CEBB0A9">
      <w:pPr>
        <w:spacing w:line="640" w:lineRule="exact"/>
        <w:ind w:firstLine="640"/>
        <w:jc w:val="both"/>
        <w:outlineLvl w:val="2"/>
      </w:pPr>
      <w:r>
        <w:rPr>
          <w:rFonts w:ascii="黑体" w:hAnsi="黑体" w:eastAsia="黑体"/>
          <w:sz w:val="32"/>
        </w:rPr>
        <w:t>十一、预算绩效的情况说明</w:t>
      </w:r>
    </w:p>
    <w:p w14:paraId="0195CA5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184.82万元，实际执行总额184.81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14:paraId="780A1BC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354C638">
        <w:tblPrEx>
          <w:tblCellMar>
            <w:top w:w="0" w:type="dxa"/>
            <w:left w:w="108" w:type="dxa"/>
            <w:bottom w:w="0" w:type="dxa"/>
            <w:right w:w="108" w:type="dxa"/>
          </w:tblCellMar>
        </w:tblPrEx>
        <w:tc>
          <w:tcPr>
            <w:tcW w:w="8840" w:type="dxa"/>
            <w:gridSpan w:val="8"/>
            <w:vAlign w:val="center"/>
          </w:tcPr>
          <w:p w14:paraId="100F6825">
            <w:pPr>
              <w:jc w:val="center"/>
            </w:pPr>
            <w:r>
              <w:rPr>
                <w:rFonts w:ascii="宋体" w:hAnsi="宋体" w:eastAsia="宋体"/>
                <w:sz w:val="24"/>
              </w:rPr>
              <w:t>单位整体支出绩效自评表</w:t>
            </w:r>
          </w:p>
        </w:tc>
      </w:tr>
      <w:tr w14:paraId="7A524ED9">
        <w:tblPrEx>
          <w:tblCellMar>
            <w:top w:w="0" w:type="dxa"/>
            <w:left w:w="108" w:type="dxa"/>
            <w:bottom w:w="0" w:type="dxa"/>
            <w:right w:w="108" w:type="dxa"/>
          </w:tblCellMar>
        </w:tblPrEx>
        <w:tc>
          <w:tcPr>
            <w:tcW w:w="8840" w:type="dxa"/>
            <w:gridSpan w:val="8"/>
            <w:vAlign w:val="center"/>
          </w:tcPr>
          <w:p w14:paraId="583114DF">
            <w:pPr>
              <w:jc w:val="center"/>
            </w:pPr>
            <w:r>
              <w:rPr>
                <w:rFonts w:ascii="宋体" w:hAnsi="宋体" w:eastAsia="宋体"/>
                <w:sz w:val="24"/>
              </w:rPr>
              <w:t>（2024年度）</w:t>
            </w:r>
          </w:p>
        </w:tc>
      </w:tr>
      <w:tr w14:paraId="3E180F9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330E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31FC6B">
            <w:pPr>
              <w:jc w:val="center"/>
            </w:pPr>
            <w:r>
              <w:rPr>
                <w:rFonts w:ascii="宋体" w:hAnsi="宋体" w:eastAsia="宋体"/>
                <w:sz w:val="16"/>
              </w:rPr>
              <w:t>阿图什市第十幼儿园</w:t>
            </w:r>
          </w:p>
        </w:tc>
      </w:tr>
      <w:tr w14:paraId="6CDADA0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1E429">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FB44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5BB4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FD5B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28281">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4AF7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34CAB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29DE4A">
            <w:pPr>
              <w:jc w:val="center"/>
            </w:pPr>
            <w:r>
              <w:rPr>
                <w:rFonts w:ascii="宋体" w:hAnsi="宋体" w:eastAsia="宋体"/>
                <w:sz w:val="16"/>
              </w:rPr>
              <w:t>得分</w:t>
            </w:r>
          </w:p>
        </w:tc>
      </w:tr>
      <w:tr w14:paraId="2527E0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83FC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5DB73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139DDD">
            <w:pPr>
              <w:jc w:val="center"/>
            </w:pPr>
            <w:r>
              <w:rPr>
                <w:rFonts w:ascii="宋体" w:hAnsi="宋体" w:eastAsia="宋体"/>
                <w:sz w:val="16"/>
              </w:rPr>
              <w:t>169.70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26002">
            <w:pPr>
              <w:jc w:val="center"/>
            </w:pPr>
            <w:r>
              <w:rPr>
                <w:rFonts w:ascii="宋体" w:hAnsi="宋体" w:eastAsia="宋体"/>
                <w:sz w:val="16"/>
              </w:rPr>
              <w:t>184.82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A9E68">
            <w:pPr>
              <w:jc w:val="center"/>
            </w:pPr>
            <w:r>
              <w:rPr>
                <w:rFonts w:ascii="宋体" w:hAnsi="宋体" w:eastAsia="宋体"/>
                <w:sz w:val="16"/>
              </w:rPr>
              <w:t>184.81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1FF0B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87EF26">
            <w:pPr>
              <w:jc w:val="center"/>
            </w:pPr>
            <w:r>
              <w:rPr>
                <w:rFonts w:ascii="宋体" w:hAnsi="宋体" w:eastAsia="宋体"/>
                <w:sz w:val="16"/>
              </w:rPr>
              <w:t>99.99%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A63E84">
            <w:pPr>
              <w:jc w:val="center"/>
              <w:rPr>
                <w:rFonts w:hint="default" w:eastAsia="宋体"/>
                <w:lang w:val="en-US" w:eastAsia="zh-CN"/>
              </w:rPr>
            </w:pPr>
            <w:r>
              <w:rPr>
                <w:rFonts w:ascii="宋体" w:hAnsi="宋体" w:eastAsia="宋体"/>
                <w:sz w:val="16"/>
              </w:rPr>
              <w:t>9</w:t>
            </w:r>
            <w:r>
              <w:rPr>
                <w:rFonts w:hint="eastAsia" w:ascii="宋体" w:hAnsi="宋体"/>
                <w:sz w:val="16"/>
                <w:lang w:val="en-US" w:eastAsia="zh-CN"/>
              </w:rPr>
              <w:t>.9</w:t>
            </w:r>
          </w:p>
        </w:tc>
      </w:tr>
      <w:tr w14:paraId="78E7C7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76BA2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7BBAD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B1E2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70796">
            <w:pPr>
              <w:jc w:val="center"/>
            </w:pPr>
            <w:r>
              <w:rPr>
                <w:rFonts w:ascii="宋体" w:hAnsi="宋体" w:eastAsia="宋体"/>
                <w:sz w:val="16"/>
              </w:rPr>
              <w:t>10.63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371AF9">
            <w:pPr>
              <w:jc w:val="center"/>
            </w:pPr>
            <w:r>
              <w:rPr>
                <w:rFonts w:ascii="宋体" w:hAnsi="宋体" w:eastAsia="宋体"/>
                <w:sz w:val="16"/>
              </w:rPr>
              <w:t>10.63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B174B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F0E9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5E4567">
            <w:pPr>
              <w:jc w:val="center"/>
            </w:pPr>
            <w:r>
              <w:rPr>
                <w:rFonts w:ascii="宋体" w:hAnsi="宋体" w:eastAsia="宋体"/>
                <w:sz w:val="16"/>
              </w:rPr>
              <w:t>—</w:t>
            </w:r>
          </w:p>
        </w:tc>
      </w:tr>
      <w:tr w14:paraId="509CD7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62C89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D228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4CB67F">
            <w:pPr>
              <w:jc w:val="center"/>
            </w:pPr>
            <w:r>
              <w:rPr>
                <w:rFonts w:ascii="宋体" w:hAnsi="宋体" w:eastAsia="宋体"/>
                <w:sz w:val="16"/>
              </w:rPr>
              <w:t>169.70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0AFEA">
            <w:pPr>
              <w:jc w:val="center"/>
            </w:pPr>
            <w:r>
              <w:rPr>
                <w:rFonts w:ascii="宋体" w:hAnsi="宋体" w:eastAsia="宋体"/>
                <w:sz w:val="16"/>
              </w:rPr>
              <w:t>174.19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3BC7F">
            <w:pPr>
              <w:jc w:val="center"/>
            </w:pPr>
            <w:r>
              <w:rPr>
                <w:rFonts w:ascii="宋体" w:hAnsi="宋体" w:eastAsia="宋体"/>
                <w:sz w:val="16"/>
              </w:rPr>
              <w:t>174.18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6E5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02556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3F7F7">
            <w:pPr>
              <w:jc w:val="center"/>
            </w:pPr>
            <w:r>
              <w:rPr>
                <w:rFonts w:ascii="宋体" w:hAnsi="宋体" w:eastAsia="宋体"/>
                <w:sz w:val="16"/>
              </w:rPr>
              <w:t>—</w:t>
            </w:r>
          </w:p>
        </w:tc>
      </w:tr>
      <w:tr w14:paraId="3FCC97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CBDB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CB08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F03B5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19F8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753E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65BEA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F26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269951">
            <w:pPr>
              <w:jc w:val="center"/>
            </w:pPr>
            <w:r>
              <w:rPr>
                <w:rFonts w:ascii="宋体" w:hAnsi="宋体" w:eastAsia="宋体"/>
                <w:sz w:val="16"/>
              </w:rPr>
              <w:t>—</w:t>
            </w:r>
          </w:p>
        </w:tc>
      </w:tr>
      <w:tr w14:paraId="1DF37C6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3817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FC5D1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6169F6">
            <w:pPr>
              <w:jc w:val="center"/>
            </w:pPr>
            <w:r>
              <w:rPr>
                <w:rFonts w:ascii="宋体" w:hAnsi="宋体" w:eastAsia="宋体"/>
                <w:sz w:val="16"/>
              </w:rPr>
              <w:t>实际完成情况</w:t>
            </w:r>
          </w:p>
        </w:tc>
      </w:tr>
      <w:tr w14:paraId="7696EEE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E29CF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0B0BDF">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机构设置及人员配置：无下属预算单位，下设2个科室，编制数12，实有人数17人，在职17人，退休0人。 </w:t>
            </w:r>
            <w:r>
              <w:rPr>
                <w:rFonts w:ascii="宋体" w:hAnsi="宋体" w:eastAsia="宋体"/>
                <w:sz w:val="16"/>
              </w:rPr>
              <w:br w:type="textWrapping"/>
            </w:r>
            <w:r>
              <w:rPr>
                <w:rFonts w:ascii="宋体" w:hAnsi="宋体" w:eastAsia="宋体"/>
                <w:sz w:val="16"/>
              </w:rPr>
              <w:t xml:space="preserve">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强化教师岗位培训，提高教师素质，促进新教师真正从学习型到创新型，老教师从经验性大科研型的转变，扎扎实实做好每一次工作，使教研教改共同代全校基础工作蓬勃发展。 </w:t>
            </w:r>
            <w:r>
              <w:rPr>
                <w:rFonts w:ascii="宋体" w:hAnsi="宋体" w:eastAsia="宋体"/>
                <w:sz w:val="16"/>
              </w:rPr>
              <w:br w:type="textWrapping"/>
            </w:r>
            <w:r>
              <w:rPr>
                <w:rFonts w:ascii="宋体" w:hAnsi="宋体" w:eastAsia="宋体"/>
                <w:sz w:val="16"/>
              </w:rPr>
              <w:t xml:space="preserve">  保障单位在职17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503DE7">
            <w:pPr>
              <w:jc w:val="both"/>
            </w:pPr>
            <w:r>
              <w:rPr>
                <w:rFonts w:ascii="宋体" w:hAnsi="宋体" w:eastAsia="宋体"/>
                <w:sz w:val="16"/>
              </w:rPr>
              <w:t xml:space="preserve">本单位共计支出184.81万元，用于保障部门在职17人的工资福利、各项补助正常发放及部门单位正常运转，单位预算项目根据年初计划均已完成，保障单位预算项目按计划实施，便于开展检查指导学习各级各类学校工作，对全市教师开展培训工作，提高教学能力，为支教教师购买生活物资，提高支教教师幸福感、归属感，积极开展校园文化建设，培养学生身心全面发展，年度任务中完成开展各类安全教育工作32次，教师教育学习人数17人，保障单位日常运转期限12个月等目标。 </w:t>
            </w:r>
          </w:p>
        </w:tc>
      </w:tr>
      <w:tr w14:paraId="14E13FF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3171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2A0A5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8D81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5ED8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C70F0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622D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7C87E">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02629">
            <w:pPr>
              <w:jc w:val="center"/>
            </w:pPr>
            <w:r>
              <w:rPr>
                <w:rFonts w:ascii="宋体" w:hAnsi="宋体" w:eastAsia="宋体"/>
                <w:sz w:val="16"/>
              </w:rPr>
              <w:t>得分</w:t>
            </w:r>
          </w:p>
        </w:tc>
      </w:tr>
      <w:tr w14:paraId="09A310C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96926">
            <w:pPr>
              <w:jc w:val="center"/>
            </w:pPr>
            <w:r>
              <w:rPr>
                <w:rFonts w:ascii="宋体" w:hAnsi="宋体" w:eastAsia="宋体"/>
                <w:sz w:val="16"/>
              </w:rPr>
              <w:t>管理效率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BDFB5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80B33">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DA91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8C03D">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38A7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D541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6E7FD0">
            <w:pPr>
              <w:jc w:val="center"/>
            </w:pPr>
            <w:r>
              <w:rPr>
                <w:rFonts w:ascii="宋体" w:hAnsi="宋体" w:eastAsia="宋体"/>
                <w:sz w:val="16"/>
              </w:rPr>
              <w:t>18</w:t>
            </w:r>
          </w:p>
        </w:tc>
      </w:tr>
      <w:tr w14:paraId="621F797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A2F1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037F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229BE7">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9345BB">
            <w:pPr>
              <w:jc w:val="center"/>
            </w:pPr>
            <w:r>
              <w:rPr>
                <w:rFonts w:ascii="宋体" w:hAnsi="宋体" w:eastAsia="宋体"/>
                <w:sz w:val="16"/>
              </w:rPr>
              <w:t>&gt;=32次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202B40">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ABD7F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9E6A8">
            <w:pPr>
              <w:jc w:val="center"/>
            </w:pPr>
            <w:r>
              <w:rPr>
                <w:rFonts w:ascii="宋体" w:hAnsi="宋体" w:eastAsia="宋体"/>
                <w:sz w:val="16"/>
              </w:rPr>
              <w:t>32次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CED392">
            <w:pPr>
              <w:jc w:val="center"/>
            </w:pPr>
            <w:r>
              <w:rPr>
                <w:rFonts w:ascii="宋体" w:hAnsi="宋体" w:eastAsia="宋体"/>
                <w:sz w:val="16"/>
              </w:rPr>
              <w:t>18</w:t>
            </w:r>
          </w:p>
        </w:tc>
      </w:tr>
      <w:tr w14:paraId="3670C76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C72E6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BEA44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84DB1">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670660">
            <w:pPr>
              <w:jc w:val="center"/>
            </w:pPr>
            <w:r>
              <w:rPr>
                <w:rFonts w:ascii="宋体" w:hAnsi="宋体" w:eastAsia="宋体"/>
                <w:sz w:val="16"/>
              </w:rPr>
              <w:t>&gt;=17人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961289">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B8BAAD">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440AA">
            <w:pPr>
              <w:jc w:val="center"/>
            </w:pPr>
            <w:r>
              <w:rPr>
                <w:rFonts w:ascii="宋体" w:hAnsi="宋体" w:eastAsia="宋体"/>
                <w:sz w:val="16"/>
              </w:rPr>
              <w:t>17人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778713">
            <w:pPr>
              <w:jc w:val="center"/>
            </w:pPr>
            <w:r>
              <w:rPr>
                <w:rFonts w:ascii="宋体" w:hAnsi="宋体" w:eastAsia="宋体"/>
                <w:sz w:val="16"/>
              </w:rPr>
              <w:t>18</w:t>
            </w:r>
          </w:p>
        </w:tc>
      </w:tr>
      <w:tr w14:paraId="041525E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AED28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2D51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68CF23">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6EA0C7">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2D077">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3E209">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6D9F5">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91A25">
            <w:pPr>
              <w:jc w:val="center"/>
            </w:pPr>
            <w:r>
              <w:rPr>
                <w:rFonts w:ascii="宋体" w:hAnsi="宋体" w:eastAsia="宋体"/>
                <w:sz w:val="16"/>
              </w:rPr>
              <w:t>18</w:t>
            </w:r>
          </w:p>
        </w:tc>
      </w:tr>
      <w:tr w14:paraId="58D9EAD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E7D0E4">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D2BF1D">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24583C">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2202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AF0266">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C4251">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D4837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D12A1">
            <w:pPr>
              <w:jc w:val="center"/>
            </w:pPr>
            <w:r>
              <w:rPr>
                <w:rFonts w:ascii="宋体" w:hAnsi="宋体" w:eastAsia="宋体"/>
                <w:sz w:val="16"/>
              </w:rPr>
              <w:t>18</w:t>
            </w:r>
          </w:p>
        </w:tc>
      </w:tr>
    </w:tbl>
    <w:p w14:paraId="0F90F882">
      <w:r>
        <w:br w:type="page"/>
      </w:r>
    </w:p>
    <w:p w14:paraId="055FDEA5">
      <w:pPr>
        <w:spacing w:line="640" w:lineRule="exact"/>
        <w:ind w:firstLine="640"/>
        <w:jc w:val="both"/>
        <w:outlineLvl w:val="2"/>
      </w:pPr>
      <w:r>
        <w:rPr>
          <w:rFonts w:ascii="黑体" w:hAnsi="黑体" w:eastAsia="黑体"/>
          <w:sz w:val="32"/>
        </w:rPr>
        <w:t>十二、其他需说明的事项</w:t>
      </w:r>
    </w:p>
    <w:p w14:paraId="5F33D930">
      <w:pPr>
        <w:spacing w:line="580" w:lineRule="exact"/>
        <w:ind w:firstLine="640"/>
        <w:jc w:val="both"/>
      </w:pPr>
      <w:r>
        <w:rPr>
          <w:rFonts w:ascii="仿宋_GB2312" w:hAnsi="仿宋_GB2312" w:eastAsia="仿宋_GB2312"/>
          <w:b w:val="0"/>
          <w:sz w:val="32"/>
        </w:rPr>
        <w:t>本单位无其他需说明的事项。</w:t>
      </w:r>
    </w:p>
    <w:p w14:paraId="4B556CD5">
      <w:r>
        <w:br w:type="page"/>
      </w:r>
    </w:p>
    <w:p w14:paraId="04AC13E1">
      <w:pPr>
        <w:spacing w:line="240" w:lineRule="auto"/>
        <w:jc w:val="center"/>
        <w:outlineLvl w:val="1"/>
      </w:pPr>
      <w:r>
        <w:rPr>
          <w:rFonts w:ascii="黑体" w:hAnsi="黑体" w:eastAsia="黑体"/>
          <w:sz w:val="32"/>
        </w:rPr>
        <w:t>第三部分 专业名词解释</w:t>
      </w:r>
    </w:p>
    <w:p w14:paraId="6F2C32C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EC6D68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1558AF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5465A5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B05C2E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3CB59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032323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61FF9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E837B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A219F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2978B4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1CB753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5CE552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DE62A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B934B4">
      <w:r>
        <w:br w:type="page"/>
      </w:r>
    </w:p>
    <w:p w14:paraId="309A9CDE">
      <w:pPr>
        <w:spacing w:line="240" w:lineRule="auto"/>
        <w:jc w:val="center"/>
        <w:outlineLvl w:val="1"/>
      </w:pPr>
      <w:r>
        <w:rPr>
          <w:rFonts w:ascii="黑体" w:hAnsi="黑体" w:eastAsia="黑体"/>
          <w:sz w:val="32"/>
        </w:rPr>
        <w:t>第四部分 部门决算报表（见附表）</w:t>
      </w:r>
    </w:p>
    <w:p w14:paraId="21E99070">
      <w:pPr>
        <w:spacing w:line="240" w:lineRule="auto"/>
        <w:ind w:firstLine="640"/>
        <w:jc w:val="both"/>
      </w:pPr>
      <w:r>
        <w:rPr>
          <w:rFonts w:ascii="仿宋_GB2312" w:hAnsi="仿宋_GB2312" w:eastAsia="仿宋_GB2312"/>
          <w:b w:val="0"/>
          <w:sz w:val="32"/>
        </w:rPr>
        <w:t>一、《收入支出决算总表》</w:t>
      </w:r>
    </w:p>
    <w:p w14:paraId="2158F520">
      <w:pPr>
        <w:spacing w:line="240" w:lineRule="auto"/>
        <w:ind w:firstLine="640"/>
        <w:jc w:val="both"/>
      </w:pPr>
      <w:r>
        <w:rPr>
          <w:rFonts w:ascii="仿宋_GB2312" w:hAnsi="仿宋_GB2312" w:eastAsia="仿宋_GB2312"/>
          <w:b w:val="0"/>
          <w:sz w:val="32"/>
        </w:rPr>
        <w:t>二、《收入决算表》</w:t>
      </w:r>
    </w:p>
    <w:p w14:paraId="26A0C5F0">
      <w:pPr>
        <w:spacing w:line="240" w:lineRule="auto"/>
        <w:ind w:firstLine="640"/>
        <w:jc w:val="both"/>
      </w:pPr>
      <w:r>
        <w:rPr>
          <w:rFonts w:ascii="仿宋_GB2312" w:hAnsi="仿宋_GB2312" w:eastAsia="仿宋_GB2312"/>
          <w:b w:val="0"/>
          <w:sz w:val="32"/>
        </w:rPr>
        <w:t>三、《支出决算表》</w:t>
      </w:r>
    </w:p>
    <w:p w14:paraId="2648C2F5">
      <w:pPr>
        <w:spacing w:line="240" w:lineRule="auto"/>
        <w:ind w:firstLine="640"/>
        <w:jc w:val="both"/>
      </w:pPr>
      <w:r>
        <w:rPr>
          <w:rFonts w:ascii="仿宋_GB2312" w:hAnsi="仿宋_GB2312" w:eastAsia="仿宋_GB2312"/>
          <w:b w:val="0"/>
          <w:sz w:val="32"/>
        </w:rPr>
        <w:t>四、《财政拨款收入支出决算总表》</w:t>
      </w:r>
    </w:p>
    <w:p w14:paraId="240936DD">
      <w:pPr>
        <w:spacing w:line="240" w:lineRule="auto"/>
        <w:ind w:firstLine="640"/>
        <w:jc w:val="both"/>
      </w:pPr>
      <w:r>
        <w:rPr>
          <w:rFonts w:ascii="仿宋_GB2312" w:hAnsi="仿宋_GB2312" w:eastAsia="仿宋_GB2312"/>
          <w:b w:val="0"/>
          <w:sz w:val="32"/>
        </w:rPr>
        <w:t>五、《一般公共预算财政拨款支出决算表》</w:t>
      </w:r>
    </w:p>
    <w:p w14:paraId="0907F948">
      <w:pPr>
        <w:spacing w:line="240" w:lineRule="auto"/>
        <w:ind w:firstLine="640"/>
        <w:jc w:val="both"/>
      </w:pPr>
      <w:r>
        <w:rPr>
          <w:rFonts w:ascii="仿宋_GB2312" w:hAnsi="仿宋_GB2312" w:eastAsia="仿宋_GB2312"/>
          <w:b w:val="0"/>
          <w:sz w:val="32"/>
        </w:rPr>
        <w:t>六、《一般公共预算财政拨款基本支出决算表》</w:t>
      </w:r>
    </w:p>
    <w:p w14:paraId="0D3011C7">
      <w:pPr>
        <w:spacing w:line="240" w:lineRule="auto"/>
        <w:ind w:firstLine="640"/>
        <w:jc w:val="both"/>
      </w:pPr>
      <w:r>
        <w:rPr>
          <w:rFonts w:ascii="仿宋_GB2312" w:hAnsi="仿宋_GB2312" w:eastAsia="仿宋_GB2312"/>
          <w:b w:val="0"/>
          <w:sz w:val="32"/>
        </w:rPr>
        <w:t>七、《政府性基金预算财政拨款收入支出决算表》</w:t>
      </w:r>
    </w:p>
    <w:p w14:paraId="505A6E21">
      <w:pPr>
        <w:spacing w:line="240" w:lineRule="auto"/>
        <w:ind w:firstLine="640"/>
        <w:jc w:val="both"/>
      </w:pPr>
      <w:r>
        <w:rPr>
          <w:rFonts w:ascii="仿宋_GB2312" w:hAnsi="仿宋_GB2312" w:eastAsia="仿宋_GB2312"/>
          <w:b w:val="0"/>
          <w:sz w:val="32"/>
        </w:rPr>
        <w:t>八、《国有资本经营预算财政拨款收入支出决算表》</w:t>
      </w:r>
    </w:p>
    <w:p w14:paraId="6B9490BA">
      <w:pPr>
        <w:spacing w:line="240" w:lineRule="auto"/>
        <w:ind w:firstLine="640"/>
        <w:jc w:val="both"/>
      </w:pPr>
      <w:r>
        <w:rPr>
          <w:rFonts w:ascii="仿宋_GB2312" w:hAnsi="仿宋_GB2312" w:eastAsia="仿宋_GB2312"/>
          <w:b w:val="0"/>
          <w:sz w:val="32"/>
        </w:rPr>
        <w:t>九、《财政拨款“三公”经费支出决算表》</w:t>
      </w:r>
    </w:p>
    <w:p w14:paraId="791A715B">
      <w:pPr>
        <w:spacing w:line="240" w:lineRule="auto"/>
        <w:ind w:firstLine="640"/>
        <w:jc w:val="both"/>
      </w:pPr>
    </w:p>
    <w:p w14:paraId="3661DFF7">
      <w:pPr>
        <w:spacing w:line="240" w:lineRule="auto"/>
        <w:ind w:firstLine="640"/>
        <w:jc w:val="both"/>
      </w:pPr>
    </w:p>
    <w:p w14:paraId="22388268">
      <w:pPr>
        <w:spacing w:line="240" w:lineRule="auto"/>
        <w:ind w:firstLine="640"/>
        <w:jc w:val="both"/>
      </w:pPr>
    </w:p>
    <w:p w14:paraId="39C953ED">
      <w:pPr>
        <w:spacing w:line="240" w:lineRule="auto"/>
        <w:ind w:firstLine="640"/>
        <w:jc w:val="both"/>
      </w:pPr>
    </w:p>
    <w:p w14:paraId="787D4B0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1B0F31"/>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AB7693"/>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3760</Words>
  <Characters>4326</Characters>
  <Lines>0</Lines>
  <Paragraphs>0</Paragraphs>
  <TotalTime>2</TotalTime>
  <ScaleCrop>false</ScaleCrop>
  <LinksUpToDate>false</LinksUpToDate>
  <CharactersWithSpaces>4334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2025-09-08T10:56:15Z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