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阿图什市吐古买提乡农业（畜牧业）发展服务中心2024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负责农业、林业、畜牧、草原、水利等方面的服务工作；协助乡政府制定农业、林业、畜牧业等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阿图什市吐古买提乡农业（畜牧业）发展服务中心2024年度，实有人数31人，其中：在职人员16人，减少10人；离休人员0人，增加0人；退休人员15人</w:t>
      </w:r>
      <w:r>
        <w:rPr>
          <w:rFonts w:hint="eastAsia" w:ascii="仿宋_GB2312" w:hAnsi="仿宋_GB2312" w:eastAsia="仿宋_GB2312"/>
          <w:sz w:val="32"/>
          <w:lang w:eastAsia="zh-CN"/>
        </w:rPr>
        <w:t>，</w:t>
      </w:r>
      <w:r>
        <w:rPr>
          <w:rFonts w:ascii="仿宋_GB2312" w:hAnsi="仿宋_GB2312" w:eastAsia="仿宋_GB2312"/>
          <w:sz w:val="32"/>
        </w:rPr>
        <w:t>减少1人。</w:t>
      </w:r>
    </w:p>
    <w:p>
      <w:pPr>
        <w:spacing w:line="580" w:lineRule="exact"/>
        <w:ind w:firstLine="640"/>
        <w:jc w:val="both"/>
      </w:pPr>
      <w:r>
        <w:rPr>
          <w:rFonts w:ascii="仿宋_GB2312" w:hAnsi="仿宋_GB2312" w:eastAsia="仿宋_GB2312"/>
          <w:sz w:val="32"/>
        </w:rPr>
        <w:t>阿图什市吐古买提乡农业（畜牧业）发展服务中心无下属预算单位，下设3个科室，分别是：办公室、品种改良室、检验室。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2024年度收入总计438.95万元，</w:t>
      </w:r>
      <w:r>
        <w:rPr>
          <w:rFonts w:ascii="仿宋_GB2312" w:hAnsi="仿宋_GB2312" w:eastAsia="仿宋_GB2312"/>
          <w:b w:val="0"/>
          <w:sz w:val="32"/>
        </w:rPr>
        <w:t>其中：本年收入合计419.06万元，使用非财政拨款结余（含专用结余）0.00万元，年初结转和结余19.90万元。</w:t>
      </w:r>
    </w:p>
    <w:p>
      <w:pPr>
        <w:spacing w:line="580" w:lineRule="exact"/>
        <w:ind w:firstLine="640"/>
        <w:jc w:val="both"/>
      </w:pPr>
      <w:r>
        <w:rPr>
          <w:rFonts w:ascii="仿宋_GB2312" w:hAnsi="仿宋_GB2312" w:eastAsia="仿宋_GB2312"/>
          <w:b/>
          <w:sz w:val="32"/>
        </w:rPr>
        <w:t>2024年度支出总计438.95万元，</w:t>
      </w:r>
      <w:r>
        <w:rPr>
          <w:rFonts w:ascii="仿宋_GB2312" w:hAnsi="仿宋_GB2312" w:eastAsia="仿宋_GB2312"/>
          <w:b w:val="0"/>
          <w:sz w:val="32"/>
        </w:rPr>
        <w:t>其中：本年支出合计411.35万元，结余分配0.00万元，年末结转和结余27.60万元。</w:t>
      </w:r>
    </w:p>
    <w:p>
      <w:pPr>
        <w:spacing w:line="580" w:lineRule="exact"/>
        <w:ind w:firstLine="640"/>
        <w:jc w:val="both"/>
      </w:pPr>
      <w:r>
        <w:rPr>
          <w:rFonts w:ascii="仿宋_GB2312" w:hAnsi="仿宋_GB2312" w:eastAsia="仿宋_GB2312"/>
          <w:b w:val="0"/>
          <w:sz w:val="32"/>
        </w:rPr>
        <w:t>收入支出总体与上年相比，增加13.08万元，增长3.07%，主要原因是：本年</w:t>
      </w:r>
      <w:bookmarkStart w:id="0" w:name="_GoBack"/>
      <w:bookmarkEnd w:id="0"/>
      <w:r>
        <w:rPr>
          <w:rFonts w:ascii="仿宋_GB2312" w:hAnsi="仿宋_GB2312" w:eastAsia="仿宋_GB2312"/>
          <w:b w:val="0"/>
          <w:sz w:val="32"/>
        </w:rPr>
        <w:t>防疫服务费较上年增加。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本年收入419.06万元，</w:t>
      </w:r>
      <w:r>
        <w:rPr>
          <w:rFonts w:ascii="仿宋_GB2312" w:hAnsi="仿宋_GB2312" w:eastAsia="仿宋_GB2312"/>
          <w:b w:val="0"/>
          <w:sz w:val="32"/>
        </w:rPr>
        <w:t>其中：财政拨款收入397.27万元，占94.80%；上级补助收入0.00万元，占0.00%；事业收入21.79万元，占5.20%；经营收入0.00万元，占0.00%；附属单位上缴收入0.00万元，占0.00%；其他收入0.00万元，占0.00%。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本年支出411.35万元，</w:t>
      </w:r>
      <w:r>
        <w:rPr>
          <w:rFonts w:ascii="仿宋_GB2312" w:hAnsi="仿宋_GB2312" w:eastAsia="仿宋_GB2312"/>
          <w:b w:val="0"/>
          <w:sz w:val="32"/>
        </w:rPr>
        <w:t>其中：基本支出411.35万元，占100.00%；项目支出0.00万元，占0.00%；上缴上级支出0.00万元，占0.00%；经营支出0.00万元，占0.00%；对附属单位补助支出0.00万元，占0.00%。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2024年度财政拨款收入总计397.27万元，</w:t>
      </w:r>
      <w:r>
        <w:rPr>
          <w:rFonts w:ascii="仿宋_GB2312" w:hAnsi="仿宋_GB2312" w:eastAsia="仿宋_GB2312"/>
          <w:b w:val="0"/>
          <w:sz w:val="32"/>
        </w:rPr>
        <w:t>其中：年初财政拨款结转和结余0.00万元，本年财政拨款收入397.27万元。</w:t>
      </w:r>
      <w:r>
        <w:rPr>
          <w:rFonts w:ascii="仿宋_GB2312" w:hAnsi="仿宋_GB2312" w:eastAsia="仿宋_GB2312"/>
          <w:b/>
          <w:sz w:val="32"/>
        </w:rPr>
        <w:t>财政拨款支出总计397.27万元，</w:t>
      </w:r>
      <w:r>
        <w:rPr>
          <w:rFonts w:ascii="仿宋_GB2312" w:hAnsi="仿宋_GB2312" w:eastAsia="仿宋_GB2312"/>
          <w:b w:val="0"/>
          <w:sz w:val="32"/>
        </w:rPr>
        <w:t>其中：年末财政拨款结转和结余0.00万元，本年财政拨款支出397.27万元。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减少8.70万元，下降2.14%，主要原因是：本年在职人员减少，相关人员经费较上年减少。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年初预算数411.45万元，决算数397.27万元，预决算差异率-3.45%，主要原因是：本年在职人员减少，年中调减人员经费，导致预决算存在差异。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2024年度一般公共预算财政拨款支出397.27万元，</w:t>
      </w:r>
      <w:r>
        <w:rPr>
          <w:rFonts w:ascii="仿宋_GB2312" w:hAnsi="仿宋_GB2312" w:eastAsia="仿宋_GB2312"/>
          <w:b w:val="0"/>
          <w:sz w:val="32"/>
        </w:rPr>
        <w:t>占本年支出合计的96.58%。</w:t>
      </w:r>
      <w:r>
        <w:rPr>
          <w:rFonts w:ascii="仿宋_GB2312" w:hAnsi="仿宋_GB2312" w:eastAsia="仿宋_GB2312"/>
          <w:b/>
          <w:sz w:val="32"/>
        </w:rPr>
        <w:t>与上年相比，</w:t>
      </w:r>
      <w:r>
        <w:rPr>
          <w:rFonts w:ascii="仿宋_GB2312" w:hAnsi="仿宋_GB2312" w:eastAsia="仿宋_GB2312"/>
          <w:b w:val="0"/>
          <w:sz w:val="32"/>
        </w:rPr>
        <w:t>减少8.70万元，下降2.14%，主要原因是：本年在职人员减少，相关人员经费较上年减少。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年初预算数411.45万元，决算数397.27万元，预决算差异率-3.45%，主要原因是：本年在职人员减少，年中调减人员经费，导致预决算存在差异。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1.社会保障和就业支出(类)68.17万元</w:t>
      </w:r>
      <w:r>
        <w:rPr>
          <w:rFonts w:hint="eastAsia" w:ascii="仿宋_GB2312" w:hAnsi="仿宋_GB2312" w:eastAsia="仿宋_GB2312"/>
          <w:b w:val="0"/>
          <w:sz w:val="32"/>
          <w:lang w:eastAsia="zh-CN"/>
        </w:rPr>
        <w:t>，</w:t>
      </w:r>
      <w:r>
        <w:rPr>
          <w:rFonts w:ascii="仿宋_GB2312" w:hAnsi="仿宋_GB2312" w:eastAsia="仿宋_GB2312"/>
          <w:b w:val="0"/>
          <w:sz w:val="32"/>
        </w:rPr>
        <w:t>占17.16%。</w:t>
      </w:r>
    </w:p>
    <w:p>
      <w:pPr>
        <w:spacing w:line="580" w:lineRule="exact"/>
        <w:ind w:firstLine="640"/>
        <w:jc w:val="both"/>
      </w:pPr>
      <w:r>
        <w:rPr>
          <w:rFonts w:ascii="仿宋_GB2312" w:hAnsi="仿宋_GB2312" w:eastAsia="仿宋_GB2312"/>
          <w:b w:val="0"/>
          <w:sz w:val="32"/>
        </w:rPr>
        <w:t>2.卫生健康支出(类)10.33万元</w:t>
      </w:r>
      <w:r>
        <w:rPr>
          <w:rFonts w:hint="eastAsia" w:ascii="仿宋_GB2312" w:hAnsi="仿宋_GB2312" w:eastAsia="仿宋_GB2312"/>
          <w:b w:val="0"/>
          <w:sz w:val="32"/>
          <w:lang w:eastAsia="zh-CN"/>
        </w:rPr>
        <w:t>，</w:t>
      </w:r>
      <w:r>
        <w:rPr>
          <w:rFonts w:ascii="仿宋_GB2312" w:hAnsi="仿宋_GB2312" w:eastAsia="仿宋_GB2312"/>
          <w:b w:val="0"/>
          <w:sz w:val="32"/>
        </w:rPr>
        <w:t>占2.60%。</w:t>
      </w:r>
    </w:p>
    <w:p>
      <w:pPr>
        <w:spacing w:line="580" w:lineRule="exact"/>
        <w:ind w:firstLine="640"/>
        <w:jc w:val="both"/>
      </w:pPr>
      <w:r>
        <w:rPr>
          <w:rFonts w:ascii="仿宋_GB2312" w:hAnsi="仿宋_GB2312" w:eastAsia="仿宋_GB2312"/>
          <w:b w:val="0"/>
          <w:sz w:val="32"/>
        </w:rPr>
        <w:t>3.农林水支出(类)290.95万元</w:t>
      </w:r>
      <w:r>
        <w:rPr>
          <w:rFonts w:hint="eastAsia" w:ascii="仿宋_GB2312" w:hAnsi="仿宋_GB2312" w:eastAsia="仿宋_GB2312"/>
          <w:b w:val="0"/>
          <w:sz w:val="32"/>
          <w:lang w:eastAsia="zh-CN"/>
        </w:rPr>
        <w:t>，</w:t>
      </w:r>
      <w:r>
        <w:rPr>
          <w:rFonts w:ascii="仿宋_GB2312" w:hAnsi="仿宋_GB2312" w:eastAsia="仿宋_GB2312"/>
          <w:b w:val="0"/>
          <w:sz w:val="32"/>
        </w:rPr>
        <w:t>占73.24%。</w:t>
      </w:r>
    </w:p>
    <w:p>
      <w:pPr>
        <w:spacing w:line="580" w:lineRule="exact"/>
        <w:ind w:firstLine="640"/>
        <w:jc w:val="both"/>
      </w:pPr>
      <w:r>
        <w:rPr>
          <w:rFonts w:ascii="仿宋_GB2312" w:hAnsi="仿宋_GB2312" w:eastAsia="仿宋_GB2312"/>
          <w:b w:val="0"/>
          <w:sz w:val="32"/>
        </w:rPr>
        <w:t>4.住房保障支出(类)27.82万元</w:t>
      </w:r>
      <w:r>
        <w:rPr>
          <w:rFonts w:hint="eastAsia" w:ascii="仿宋_GB2312" w:hAnsi="仿宋_GB2312" w:eastAsia="仿宋_GB2312"/>
          <w:b w:val="0"/>
          <w:sz w:val="32"/>
          <w:lang w:eastAsia="zh-CN"/>
        </w:rPr>
        <w:t>，</w:t>
      </w:r>
      <w:r>
        <w:rPr>
          <w:rFonts w:ascii="仿宋_GB2312" w:hAnsi="仿宋_GB2312" w:eastAsia="仿宋_GB2312"/>
          <w:b w:val="0"/>
          <w:sz w:val="32"/>
        </w:rPr>
        <w:t>占7.00%。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支出决算数为21.25万元，比上年决算增加4.12万元，增长24.05%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支出决算数为35.39万元，比上年决算增加1.19万元，增长3.48%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支出决算数为0.00万元，比上年决算减少5.15万元，下降100.00%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主要原因是：本年无新增退休人员，职业年金缴费较上年减少。</w:t>
      </w:r>
    </w:p>
    <w:p>
      <w:pPr>
        <w:spacing w:line="580" w:lineRule="exact"/>
        <w:ind w:firstLine="640"/>
        <w:jc w:val="both"/>
      </w:pPr>
      <w:r>
        <w:rPr>
          <w:rFonts w:ascii="仿宋_GB2312" w:hAnsi="仿宋_GB2312" w:eastAsia="仿宋_GB2312"/>
          <w:b w:val="0"/>
          <w:sz w:val="32"/>
        </w:rPr>
        <w:t>4.社会保障和就业支出(类)抚恤(款)</w:t>
      </w:r>
      <w:r>
        <w:rPr>
          <w:rFonts w:hint="eastAsia" w:ascii="仿宋_GB2312" w:hAnsi="仿宋_GB2312" w:eastAsia="仿宋_GB2312"/>
          <w:b w:val="0"/>
          <w:sz w:val="32"/>
          <w:lang w:eastAsia="zh-CN"/>
        </w:rPr>
        <w:t>sw</w:t>
      </w:r>
      <w:r>
        <w:rPr>
          <w:rFonts w:ascii="仿宋_GB2312" w:hAnsi="仿宋_GB2312" w:eastAsia="仿宋_GB2312"/>
          <w:b w:val="0"/>
          <w:sz w:val="32"/>
        </w:rPr>
        <w:t>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支出决算数为11.53万元，比上年决算增加11.53万元，增长100.00%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w:t>
      </w:r>
      <w:r>
        <w:rPr>
          <w:rFonts w:hint="eastAsia" w:ascii="仿宋_GB2312" w:hAnsi="仿宋_GB2312" w:eastAsia="仿宋_GB2312"/>
          <w:b w:val="0"/>
          <w:sz w:val="32"/>
          <w:lang w:eastAsia="zh-CN"/>
        </w:rPr>
        <w:t>sw</w:t>
      </w:r>
      <w:r>
        <w:rPr>
          <w:rFonts w:ascii="仿宋_GB2312" w:hAnsi="仿宋_GB2312" w:eastAsia="仿宋_GB2312"/>
          <w:b w:val="0"/>
          <w:sz w:val="32"/>
        </w:rPr>
        <w:t>人员，</w:t>
      </w:r>
      <w:r>
        <w:rPr>
          <w:rFonts w:hint="eastAsia" w:ascii="仿宋_GB2312" w:hAnsi="仿宋_GB2312" w:eastAsia="仿宋_GB2312"/>
          <w:b w:val="0"/>
          <w:sz w:val="32"/>
          <w:lang w:eastAsia="zh-CN"/>
        </w:rPr>
        <w:t>sw</w:t>
      </w:r>
      <w:r>
        <w:rPr>
          <w:rFonts w:ascii="仿宋_GB2312" w:hAnsi="仿宋_GB2312" w:eastAsia="仿宋_GB2312"/>
          <w:b w:val="0"/>
          <w:sz w:val="32"/>
        </w:rPr>
        <w:t>抚恤支出增加。</w:t>
      </w:r>
    </w:p>
    <w:p>
      <w:pPr>
        <w:spacing w:line="580" w:lineRule="exact"/>
        <w:ind w:firstLine="640"/>
        <w:jc w:val="both"/>
      </w:pPr>
      <w:r>
        <w:rPr>
          <w:rFonts w:ascii="仿宋_GB2312" w:hAnsi="仿宋_GB2312" w:eastAsia="仿宋_GB2312"/>
          <w:b w:val="0"/>
          <w:sz w:val="32"/>
        </w:rPr>
        <w:t>5.卫生健康支出(类)行政事业单位医疗(款)事业单位医疗(项)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支出决算数为10.33万元，比上年决算减少6.44万元，下降38.40%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主要原因是：本年在职人员减少，事业单位医疗支出较上年减少。</w:t>
      </w:r>
    </w:p>
    <w:p>
      <w:pPr>
        <w:spacing w:line="580" w:lineRule="exact"/>
        <w:ind w:firstLine="640"/>
        <w:jc w:val="both"/>
      </w:pPr>
      <w:r>
        <w:rPr>
          <w:rFonts w:ascii="仿宋_GB2312" w:hAnsi="仿宋_GB2312" w:eastAsia="仿宋_GB2312"/>
          <w:b w:val="0"/>
          <w:sz w:val="32"/>
        </w:rPr>
        <w:t>6.农林水支出(类)农业农村(款)科技</w:t>
      </w:r>
      <w:r>
        <w:rPr>
          <w:rFonts w:hint="eastAsia" w:ascii="仿宋_GB2312" w:hAnsi="仿宋_GB2312" w:eastAsia="仿宋_GB2312"/>
          <w:b w:val="0"/>
          <w:sz w:val="32"/>
          <w:lang w:eastAsia="zh-CN"/>
        </w:rPr>
        <w:t>zh</w:t>
      </w:r>
      <w:r>
        <w:rPr>
          <w:rFonts w:ascii="仿宋_GB2312" w:hAnsi="仿宋_GB2312" w:eastAsia="仿宋_GB2312"/>
          <w:b w:val="0"/>
          <w:sz w:val="32"/>
        </w:rPr>
        <w:t>与推广服务(项)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支出决算数为290.95万元，比上年决算减少12.68万元，下降4.18%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主要原因是：本年在职人员减少，相关人员经费较上年减少。</w:t>
      </w:r>
    </w:p>
    <w:p>
      <w:pPr>
        <w:spacing w:line="580" w:lineRule="exact"/>
        <w:ind w:firstLine="640"/>
        <w:jc w:val="both"/>
      </w:pPr>
      <w:r>
        <w:rPr>
          <w:rFonts w:ascii="仿宋_GB2312" w:hAnsi="仿宋_GB2312" w:eastAsia="仿宋_GB2312"/>
          <w:b w:val="0"/>
          <w:sz w:val="32"/>
        </w:rPr>
        <w:t>7.住房保障支出(类)住房改革支出(款)住房公积金(项)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支出决算数为27.82万元，比上年决算减少1.28万元，下降4.40%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2024年度一般公共预算财政拨款基本支出397.27万元，其中：</w:t>
      </w:r>
      <w:r>
        <w:rPr>
          <w:rFonts w:ascii="仿宋_GB2312" w:hAnsi="仿宋_GB2312" w:eastAsia="仿宋_GB2312"/>
          <w:b/>
          <w:sz w:val="32"/>
        </w:rPr>
        <w:t>人员经费393.29万元，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公用经费3.97万元，</w:t>
      </w:r>
      <w:r>
        <w:rPr>
          <w:rFonts w:ascii="仿宋_GB2312" w:hAnsi="仿宋_GB2312" w:eastAsia="仿宋_GB2312"/>
          <w:b w:val="0"/>
          <w:sz w:val="32"/>
        </w:rPr>
        <w:t>包括：办公费、取暖费。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2024年度阿图什市吐古买提乡农业（畜牧业）发展服务中心（事业单位）公用经费支出3.97万元，比上年增加0.00万元，增长0.00%，主要原因是：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公用经费与上年支出一致，无变化。</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2024年度政府采购支出总额14.09万元，其中：政府采购货物支出14.09万元、政府采购工程支出0.00万元、政府采购服务支出0.00万元。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授予中小企业合同金额14.09万元，占政府采购支出总额的100.00%，其中：授予小微企业合同金额14.09万元，占政府采购支出总额的100.00%。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无预算绩效项目。发现的问题及原因：2024年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无预算绩效项目。下一步改进措施：2024年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本年度本单位整体绩效自评表由阿图什市吐古买提乡人民政府编报并公开。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233FFC-8E9F-4552-8C57-8FB5C1DFC27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B6F12611-7CFE-4619-8F9F-9AFBC7B0AD63}"/>
  </w:font>
  <w:font w:name="仿宋_GB2312">
    <w:panose1 w:val="02010609030101010101"/>
    <w:charset w:val="86"/>
    <w:family w:val="modern"/>
    <w:pitch w:val="default"/>
    <w:sig w:usb0="00000001" w:usb1="080E0000" w:usb2="00000000" w:usb3="00000000" w:csb0="00040000" w:csb1="00000000"/>
    <w:embedRegular r:id="rId3" w:fontKey="{27CF75BF-8835-4AEE-82E5-6F5231DE661D}"/>
  </w:font>
  <w:font w:name="楷体_GB2312">
    <w:panose1 w:val="02010609030101010101"/>
    <w:charset w:val="86"/>
    <w:family w:val="auto"/>
    <w:pitch w:val="default"/>
    <w:sig w:usb0="00000001" w:usb1="080E0000" w:usb2="00000000" w:usb3="00000000" w:csb0="00040000" w:csb1="00000000"/>
    <w:embedRegular r:id="rId4" w:fontKey="{65C5DF3B-7B74-487A-8965-582F269EF61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8022EA"/>
    <w:rsid w:val="2A053397"/>
    <w:rsid w:val="2A444FB1"/>
    <w:rsid w:val="2A6064E2"/>
    <w:rsid w:val="2C1965E9"/>
    <w:rsid w:val="2D1136DF"/>
    <w:rsid w:val="2DAE0E44"/>
    <w:rsid w:val="2FD27414"/>
    <w:rsid w:val="309933D8"/>
    <w:rsid w:val="313F1D52"/>
    <w:rsid w:val="318029AB"/>
    <w:rsid w:val="31C63837"/>
    <w:rsid w:val="326F0A17"/>
    <w:rsid w:val="3277581B"/>
    <w:rsid w:val="38006E2C"/>
    <w:rsid w:val="3914510A"/>
    <w:rsid w:val="3B1220C9"/>
    <w:rsid w:val="3D5275AC"/>
    <w:rsid w:val="3EA7725F"/>
    <w:rsid w:val="3EC014A1"/>
    <w:rsid w:val="3F5A3736"/>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42687B"/>
    <w:rsid w:val="5AFC6609"/>
    <w:rsid w:val="5FA17648"/>
    <w:rsid w:val="5FD320BD"/>
    <w:rsid w:val="60DE4D57"/>
    <w:rsid w:val="613409CB"/>
    <w:rsid w:val="61A46A97"/>
    <w:rsid w:val="62DD7D21"/>
    <w:rsid w:val="65D97752"/>
    <w:rsid w:val="664C500C"/>
    <w:rsid w:val="67D111AB"/>
    <w:rsid w:val="68DB0208"/>
    <w:rsid w:val="68DF36D5"/>
    <w:rsid w:val="69846A0E"/>
    <w:rsid w:val="69AC37D8"/>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4882</Words>
  <Characters>5497</Characters>
  <Lines>0</Lines>
  <Paragraphs>0</Paragraphs>
  <TotalTime>2</TotalTime>
  <ScaleCrop>false</ScaleCrop>
  <LinksUpToDate>false</LinksUpToDate>
  <CharactersWithSpaces>5507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2025-09-17T12:16:04Z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