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阿图什市上阿图什镇中心学校2024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阿图什市上阿图什镇中心学校2024年度，实有人数953人，其中：在职人员696人，减少1人；离休人员0人，增加0人；退休人员257人</w:t>
      </w:r>
      <w:r>
        <w:rPr>
          <w:rFonts w:hint="eastAsia" w:ascii="仿宋_GB2312" w:hAnsi="仿宋_GB2312" w:eastAsia="仿宋_GB2312"/>
          <w:sz w:val="32"/>
          <w:lang w:eastAsia="zh-CN"/>
        </w:rPr>
        <w:t>，</w:t>
      </w:r>
      <w:r>
        <w:rPr>
          <w:rFonts w:ascii="仿宋_GB2312" w:hAnsi="仿宋_GB2312" w:eastAsia="仿宋_GB2312"/>
          <w:sz w:val="32"/>
        </w:rPr>
        <w:t>增加0人。</w:t>
      </w:r>
    </w:p>
    <w:p>
      <w:pPr>
        <w:spacing w:line="580" w:lineRule="exact"/>
        <w:ind w:firstLine="640"/>
        <w:jc w:val="both"/>
      </w:pPr>
      <w:r>
        <w:rPr>
          <w:rFonts w:ascii="仿宋_GB2312" w:hAnsi="仿宋_GB2312" w:eastAsia="仿宋_GB2312"/>
          <w:sz w:val="32"/>
        </w:rPr>
        <w:t>阿图什市上阿图什镇中心学校无下属预算单位，下设6个科室，分别是：办公室、党建室、财务室、德育室、校安办、教务处。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2024年度收入总计13,947.36万元，</w:t>
      </w:r>
      <w:r>
        <w:rPr>
          <w:rFonts w:ascii="仿宋_GB2312" w:hAnsi="仿宋_GB2312" w:eastAsia="仿宋_GB2312"/>
          <w:b w:val="0"/>
          <w:sz w:val="32"/>
        </w:rPr>
        <w:t>其中：本年收入合计13,853.96万元，使用非财政拨款结余（含专用结余）0.00万元，年初结转和结余93.40万元。</w:t>
      </w:r>
    </w:p>
    <w:p>
      <w:pPr>
        <w:spacing w:line="580" w:lineRule="exact"/>
        <w:ind w:firstLine="640"/>
        <w:jc w:val="both"/>
      </w:pPr>
      <w:r>
        <w:rPr>
          <w:rFonts w:ascii="仿宋_GB2312" w:hAnsi="仿宋_GB2312" w:eastAsia="仿宋_GB2312"/>
          <w:b/>
          <w:sz w:val="32"/>
        </w:rPr>
        <w:t>2024年度支出总计13,947.36万元，</w:t>
      </w:r>
      <w:r>
        <w:rPr>
          <w:rFonts w:ascii="仿宋_GB2312" w:hAnsi="仿宋_GB2312" w:eastAsia="仿宋_GB2312"/>
          <w:b w:val="0"/>
          <w:sz w:val="32"/>
        </w:rPr>
        <w:t>其中：本年支出合计13,906.61万元，结余分配0.00万元，年末结转和结余40.75万元。</w:t>
      </w:r>
    </w:p>
    <w:p>
      <w:pPr>
        <w:spacing w:line="580" w:lineRule="exact"/>
        <w:ind w:firstLine="640"/>
        <w:jc w:val="both"/>
      </w:pPr>
      <w:r>
        <w:rPr>
          <w:rFonts w:ascii="仿宋_GB2312" w:hAnsi="仿宋_GB2312" w:eastAsia="仿宋_GB2312"/>
          <w:b w:val="0"/>
          <w:sz w:val="32"/>
        </w:rPr>
        <w:t>收入支出总体与上年相比，增加135.46万元，增长0.98%，主要原因是：本年在职人员工资调增，社保、公积金基数调增，人员经费增加。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本年收入13,853.96万元，</w:t>
      </w:r>
      <w:r>
        <w:rPr>
          <w:rFonts w:ascii="仿宋_GB2312" w:hAnsi="仿宋_GB2312" w:eastAsia="仿宋_GB2312"/>
          <w:b w:val="0"/>
          <w:sz w:val="32"/>
        </w:rPr>
        <w:t>其中：财政拨款收入13,823.65万元，占99.78%；上级补助收入0.00万元，占0.00%；事业收入0.00万元，占0.00%；经营收入0.00万元，占0.00%；附属单位上缴收入0.00万元，占0.00%；其他收入30.31万元，占0.22%。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本年支出13,906.61万元，</w:t>
      </w:r>
      <w:r>
        <w:rPr>
          <w:rFonts w:ascii="仿宋_GB2312" w:hAnsi="仿宋_GB2312" w:eastAsia="仿宋_GB2312"/>
          <w:b w:val="0"/>
          <w:sz w:val="32"/>
        </w:rPr>
        <w:t>其中：基本支出11,920.33万元，占85.72%；项目支出1,986.28万元，占14.28%；上缴上级支出0.00万元，占0.00%；经营支出0.00万元，占0.00%；对附属单位补助支出0.00万元，占0.00%。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2024年度财政拨款收入总计13,823.65万元，</w:t>
      </w:r>
      <w:r>
        <w:rPr>
          <w:rFonts w:ascii="仿宋_GB2312" w:hAnsi="仿宋_GB2312" w:eastAsia="仿宋_GB2312"/>
          <w:b w:val="0"/>
          <w:sz w:val="32"/>
        </w:rPr>
        <w:t>其中：年初财政拨款结转和结余0.00万元，本年财政拨款收入13,823.65万元。</w:t>
      </w:r>
      <w:r>
        <w:rPr>
          <w:rFonts w:ascii="仿宋_GB2312" w:hAnsi="仿宋_GB2312" w:eastAsia="仿宋_GB2312"/>
          <w:b/>
          <w:sz w:val="32"/>
        </w:rPr>
        <w:t>财政拨款支出总计13,823.65万元，</w:t>
      </w:r>
      <w:r>
        <w:rPr>
          <w:rFonts w:ascii="仿宋_GB2312" w:hAnsi="仿宋_GB2312" w:eastAsia="仿宋_GB2312"/>
          <w:b w:val="0"/>
          <w:sz w:val="32"/>
        </w:rPr>
        <w:t>其中：年末财政拨款结转和结余0.00万元，本年财政拨款支出13,823.65万元。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增加361.66万元，增长2.69%，主要原因是：本年在职人员工资调增，社保、公积金基数调增，人员经费增加。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年初预算数12,290.46万元，决算数13,823.65万元，预决算差异率12.47%，主要原因是：年中追加人员工资、社保、公积金基数调增部分资金，导致预决算差异。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2024年度一般公共预算财政拨款支出13,822.15万元，</w:t>
      </w:r>
      <w:r>
        <w:rPr>
          <w:rFonts w:ascii="仿宋_GB2312" w:hAnsi="仿宋_GB2312" w:eastAsia="仿宋_GB2312"/>
          <w:b w:val="0"/>
          <w:sz w:val="32"/>
        </w:rPr>
        <w:t>占本年支出合计的99.39%。</w:t>
      </w:r>
      <w:r>
        <w:rPr>
          <w:rFonts w:ascii="仿宋_GB2312" w:hAnsi="仿宋_GB2312" w:eastAsia="仿宋_GB2312"/>
          <w:b/>
          <w:sz w:val="32"/>
        </w:rPr>
        <w:t>与上年相比，</w:t>
      </w:r>
      <w:r>
        <w:rPr>
          <w:rFonts w:ascii="仿宋_GB2312" w:hAnsi="仿宋_GB2312" w:eastAsia="仿宋_GB2312"/>
          <w:b w:val="0"/>
          <w:sz w:val="32"/>
        </w:rPr>
        <w:t>增加361.66万元，增长2.69%，主要原因是：本年在职人员工资调增，社保、公积金基数调增，人员经费增加。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年初预算数12,288.96万元，决算数13,822.15万元，预决算差异率12.48%，主要原因是：年中追加人员工资、社保、公积金基数调增部分资金，导致预决算差异。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1.教育支出(类)13,822.15万元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支出决算数为396.40万元，比上年决算增加250.29万元，增长171.30%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主要原因是：本年功能科目调整，职工医疗保险调整学前教育列支，相关支出增加。</w:t>
      </w:r>
    </w:p>
    <w:p>
      <w:pPr>
        <w:spacing w:line="580" w:lineRule="exact"/>
        <w:ind w:firstLine="640"/>
        <w:jc w:val="both"/>
      </w:pPr>
      <w:r>
        <w:rPr>
          <w:rFonts w:ascii="仿宋_GB2312" w:hAnsi="仿宋_GB2312" w:eastAsia="仿宋_GB2312"/>
          <w:b w:val="0"/>
          <w:sz w:val="32"/>
        </w:rPr>
        <w:t>2.教育支出(类)普通教育(款)小学教育(项)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支出决算数为13,359.47万元，比上年决算增加2,086.65万元，增长18.51%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主要原因是：本年功能科目调整，机关事业单位基本养老保险、机关事业单位职业年金、住房公积金调整至小学教育列支，增加</w:t>
      </w:r>
      <w:bookmarkStart w:id="0" w:name="_GoBack"/>
      <w:bookmarkEnd w:id="0"/>
      <w:r>
        <w:rPr>
          <w:rFonts w:ascii="仿宋_GB2312" w:hAnsi="仿宋_GB2312" w:eastAsia="仿宋_GB2312"/>
          <w:b w:val="0"/>
          <w:sz w:val="32"/>
        </w:rPr>
        <w:t>义务教育公用经费、学生营养改善计划资金、</w:t>
      </w:r>
      <w:r>
        <w:rPr>
          <w:rFonts w:hint="eastAsia" w:ascii="仿宋_GB2312" w:hAnsi="仿宋_GB2312" w:eastAsia="仿宋_GB2312"/>
          <w:b w:val="0"/>
          <w:sz w:val="32"/>
          <w:lang w:val="en-US" w:eastAsia="zh-CN"/>
        </w:rPr>
        <w:t>学生</w:t>
      </w:r>
      <w:r>
        <w:rPr>
          <w:rFonts w:ascii="仿宋_GB2312" w:hAnsi="仿宋_GB2312" w:eastAsia="仿宋_GB2312"/>
          <w:b w:val="0"/>
          <w:sz w:val="32"/>
        </w:rPr>
        <w:t>生活补助、乡村教师生活补助等项目资金。</w:t>
      </w:r>
    </w:p>
    <w:p>
      <w:pPr>
        <w:spacing w:line="580" w:lineRule="exact"/>
        <w:ind w:firstLine="640"/>
        <w:jc w:val="both"/>
      </w:pPr>
      <w:r>
        <w:rPr>
          <w:rFonts w:ascii="仿宋_GB2312" w:hAnsi="仿宋_GB2312" w:eastAsia="仿宋_GB2312"/>
          <w:b w:val="0"/>
          <w:sz w:val="32"/>
        </w:rPr>
        <w:t>3.教育支出(类)教育费附加安排的支出(款)其他教育费附加安排的支出(项)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支出决算数为66.27万元，比上年决算增加66.27万元，增长100.00%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主要原因是：本年增加学校运转经费（电费）。</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支出决算数为0.00万元，比上年决算减少1,038.79万元，下降100.00%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支出决算数为0.00万元，比上年决算减少91.64万元，下降100.00%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主要原因是：本年功能科目调整，机关事业单位职业年金缴费上年度单独列支，本年调整至主科目列支，导致经费较上年减少。</w:t>
      </w:r>
    </w:p>
    <w:p>
      <w:pPr>
        <w:spacing w:line="580" w:lineRule="exact"/>
        <w:ind w:firstLine="640"/>
        <w:jc w:val="both"/>
      </w:pPr>
      <w:r>
        <w:rPr>
          <w:rFonts w:ascii="仿宋_GB2312" w:hAnsi="仿宋_GB2312" w:eastAsia="仿宋_GB2312"/>
          <w:b w:val="0"/>
          <w:sz w:val="32"/>
        </w:rPr>
        <w:t>6.社会保障和就业支出(类)抚恤(款)死亡抚恤(项)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支出决算数为0.00万元，比上年决算减少28.26万元，下降100.00%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w:t>
      </w:r>
      <w:r>
        <w:rPr>
          <w:rFonts w:hint="eastAsia" w:ascii="仿宋_GB2312" w:hAnsi="仿宋_GB2312" w:eastAsia="仿宋_GB2312"/>
          <w:b w:val="0"/>
          <w:sz w:val="32"/>
          <w:lang w:val="en-US" w:eastAsia="zh-CN"/>
        </w:rPr>
        <w:t>抚恤金</w:t>
      </w:r>
      <w:r>
        <w:rPr>
          <w:rFonts w:ascii="仿宋_GB2312" w:hAnsi="仿宋_GB2312" w:eastAsia="仿宋_GB2312"/>
          <w:b w:val="0"/>
          <w:sz w:val="32"/>
        </w:rPr>
        <w:t>上年度单独列支，本年调整至主科目列支，导致经费较上年减少。</w:t>
      </w:r>
    </w:p>
    <w:p>
      <w:pPr>
        <w:spacing w:line="580" w:lineRule="exact"/>
        <w:ind w:firstLine="640"/>
        <w:jc w:val="both"/>
      </w:pPr>
      <w:r>
        <w:rPr>
          <w:rFonts w:ascii="仿宋_GB2312" w:hAnsi="仿宋_GB2312" w:eastAsia="仿宋_GB2312"/>
          <w:b w:val="0"/>
          <w:sz w:val="32"/>
        </w:rPr>
        <w:t>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支出决算数为0.00万元，比上年决算减少882.86万元，下降100.00%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2024年度一般公共预算财政拨款基本支出11,920.33万元，其中：</w:t>
      </w:r>
      <w:r>
        <w:rPr>
          <w:rFonts w:ascii="仿宋_GB2312" w:hAnsi="仿宋_GB2312" w:eastAsia="仿宋_GB2312"/>
          <w:b/>
          <w:sz w:val="32"/>
        </w:rPr>
        <w:t>人员经费11,920.33万元，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增加0.00万元，增长0.00%，主要原因是：本单位乡村学校少年宫项目与上年一致无变化。</w:t>
      </w:r>
      <w:r>
        <w:rPr>
          <w:rFonts w:ascii="仿宋_GB2312" w:hAnsi="仿宋_GB2312" w:eastAsia="仿宋_GB2312"/>
          <w:b/>
          <w:sz w:val="32"/>
        </w:rPr>
        <w:t>与年初预算相比，</w:t>
      </w:r>
      <w:r>
        <w:rPr>
          <w:rFonts w:ascii="仿宋_GB2312" w:hAnsi="仿宋_GB2312" w:eastAsia="仿宋_GB2312"/>
          <w:b w:val="0"/>
          <w:sz w:val="32"/>
        </w:rPr>
        <w:t>年初预算数1.50万元，决算数1.50万元，预决算差异率0.00%，主要原因是：严格按照预算执行，预决算无差异。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政府性基金预算财政拨款支出1.50万元。</w:t>
      </w:r>
    </w:p>
    <w:p>
      <w:pPr>
        <w:spacing w:line="580" w:lineRule="exact"/>
        <w:ind w:firstLine="640"/>
        <w:jc w:val="both"/>
      </w:pPr>
      <w:r>
        <w:rPr>
          <w:rFonts w:ascii="仿宋_GB2312" w:hAnsi="仿宋_GB2312" w:eastAsia="仿宋_GB2312"/>
          <w:b w:val="0"/>
          <w:sz w:val="32"/>
        </w:rPr>
        <w:t>1.其他支出(类)彩票公益金安排的支出(款)用于体育事业的彩票公益金支出(项)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支出决算数为1.50万元，比上年决算增加1.50万元，增长100.00%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主要原因是：本年功能科目调整，少年宫项目资金调整至用于体育事业的彩票公益金支出列支，相关支出增加。</w:t>
      </w:r>
    </w:p>
    <w:p>
      <w:pPr>
        <w:spacing w:line="580" w:lineRule="exact"/>
        <w:ind w:firstLine="640"/>
        <w:jc w:val="both"/>
      </w:pPr>
      <w:r>
        <w:rPr>
          <w:rFonts w:ascii="仿宋_GB2312" w:hAnsi="仿宋_GB2312" w:eastAsia="仿宋_GB2312"/>
          <w:b w:val="0"/>
          <w:sz w:val="32"/>
        </w:rPr>
        <w:t>2.其他支出(类)彩票公益金安排的支出(款)用于教育事业的彩票公益金支出(项)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支出决算数为0.00万元，比上年决算减少1.50万元，下降100.00%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主要原因是：本年功能科目调整，少年宫项目资金调整至用于体育事业的彩票公益金支出列支，相关支出减少。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2024年度阿图什市上阿图什镇中心学校（事业单位）公用经费支出0.00万元，比上年减少10.43万元，下降100.00%，主要原因是：本单位2024年</w:t>
      </w:r>
      <w:r>
        <w:rPr>
          <w:rFonts w:hint="eastAsia" w:ascii="仿宋_GB2312" w:hAnsi="仿宋_GB2312" w:eastAsia="仿宋_GB2312"/>
          <w:b w:val="0"/>
          <w:sz w:val="32"/>
          <w:lang w:val="en-US" w:eastAsia="zh-CN"/>
        </w:rPr>
        <w:t>未安排财政拨款</w:t>
      </w:r>
      <w:r>
        <w:rPr>
          <w:rFonts w:ascii="仿宋_GB2312" w:hAnsi="仿宋_GB2312" w:eastAsia="仿宋_GB2312"/>
          <w:b w:val="0"/>
          <w:sz w:val="32"/>
        </w:rPr>
        <w:t>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2024年度政府采购支出总额409.60万元，其中：政府采购货物支出239.87万元、政府采购工程支出56.76万元、政府采购服务支出112.98万元。</w:t>
      </w:r>
    </w:p>
    <w:p>
      <w:pPr>
        <w:spacing w:line="580" w:lineRule="exact"/>
        <w:ind w:firstLine="640"/>
        <w:jc w:val="both"/>
      </w:pPr>
      <w:r>
        <w:rPr>
          <w:rFonts w:ascii="仿宋_GB2312" w:hAnsi="仿宋_GB2312" w:eastAsia="仿宋_GB2312"/>
          <w:b w:val="0"/>
          <w:sz w:val="32"/>
        </w:rPr>
        <w:t>授予中小企业合同金额377.99万元，占政府采购支出总额的92.28%，其中：授予小微企业合同金额312.42万元，占政府采购支出总额的76.27%。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41,970.57平方米，价值6,530.85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13,947.36万元，实际执行总额13,906.61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10"/>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Layout w:type="fixed"/>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阿图什市上阿图什镇中心学校</w:t>
            </w:r>
          </w:p>
        </w:tc>
      </w:tr>
      <w:tr>
        <w:tblPrEx>
          <w:tblLayout w:type="fixed"/>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11,975.16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13,947.36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13,906.61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9.97</w:t>
            </w:r>
          </w:p>
        </w:tc>
      </w:tr>
      <w:tr>
        <w:tblPrEx>
          <w:tblLayout w:type="fixed"/>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1,833.33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1,833.33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11,975.16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12,114.03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12,073.28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机构设置及人员配置：无下属预算单位，下设18所村级小学，编制数701，实有人数947人，在职690人，退休257人。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次工作，使教研教改共同代全校基础工作蓬勃发展。 </w:t>
            </w:r>
            <w:r>
              <w:rPr>
                <w:rFonts w:ascii="宋体" w:hAnsi="宋体" w:eastAsia="宋体"/>
                <w:sz w:val="16"/>
              </w:rPr>
              <w:br w:type="textWrapping"/>
            </w:r>
            <w:r>
              <w:rPr>
                <w:rFonts w:ascii="宋体" w:hAnsi="宋体" w:eastAsia="宋体"/>
                <w:sz w:val="16"/>
              </w:rPr>
              <w:t>保障单位在职690人，退休257人的工资福利及各项补助正常发放及部门正常运转；确保顺利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13906.61万元，用于保障部门在职690人，退休257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36次，教师培训人数498人，保障单位日常运转期限12个月等目标。</w:t>
            </w:r>
          </w:p>
        </w:tc>
      </w:tr>
      <w:tr>
        <w:tblPrEx>
          <w:tblLayout w:type="fixed"/>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&gt;=498人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Layout w:type="fixed"/>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4E1077"/>
    <w:rsid w:val="5FA17648"/>
    <w:rsid w:val="5FD320BD"/>
    <w:rsid w:val="60DE4D57"/>
    <w:rsid w:val="613409CB"/>
    <w:rsid w:val="61A46A97"/>
    <w:rsid w:val="62DD7D21"/>
    <w:rsid w:val="65D97752"/>
    <w:rsid w:val="664C500C"/>
    <w:rsid w:val="67D111AB"/>
    <w:rsid w:val="67EE2BBC"/>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B2209D"/>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4556</Words>
  <Characters>5340</Characters>
  <Lines>0</Lines>
  <Paragraphs>0</Paragraphs>
  <TotalTime>4</TotalTime>
  <ScaleCrop>false</ScaleCrop>
  <LinksUpToDate>false</LinksUpToDate>
  <CharactersWithSpaces>5348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2025-09-19T04:18:56Z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