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中共阿图什市委员会网络安全和信息化委员会办公室2024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E6564A2">
      <w:r>
        <w:br w:type="page"/>
      </w:r>
    </w:p>
    <w:p w14:paraId="0463F8FC">
      <w:pPr>
        <w:spacing w:line="640" w:lineRule="exact"/>
        <w:jc w:val="center"/>
        <w:outlineLvl w:val="1"/>
      </w:pPr>
      <w:r>
        <w:rPr>
          <w:rFonts w:ascii="黑体" w:hAnsi="黑体" w:eastAsia="黑体"/>
          <w:sz w:val="32"/>
        </w:rPr>
        <w:t>第一部分 单位概况</w:t>
      </w:r>
    </w:p>
    <w:p w14:paraId="6C3738FF">
      <w:pPr>
        <w:spacing w:line="640" w:lineRule="exact"/>
        <w:ind w:firstLine="640"/>
        <w:jc w:val="both"/>
        <w:outlineLvl w:val="2"/>
      </w:pPr>
      <w:r>
        <w:rPr>
          <w:rFonts w:ascii="黑体" w:hAnsi="黑体" w:eastAsia="黑体"/>
          <w:sz w:val="32"/>
        </w:rPr>
        <w:t>一、主要职能</w:t>
      </w:r>
    </w:p>
    <w:p w14:paraId="11410CB0">
      <w:pPr>
        <w:spacing w:line="580" w:lineRule="exact"/>
        <w:ind w:firstLine="640"/>
        <w:jc w:val="both"/>
      </w:pPr>
      <w:r>
        <w:rPr>
          <w:rFonts w:ascii="仿宋_GB2312" w:hAnsi="仿宋_GB2312" w:eastAsia="仿宋_GB2312"/>
          <w:sz w:val="32"/>
        </w:rPr>
        <w:t>承担中共阿图什市委员会网络安全和信息化委员会日常事务工作，协调督促有关方面落实委员会的决定事项、工作部署和要求；贯彻落实中央、自治区、自治州、阿图什市委关于网络安全和信息化体系建设工作的方针政策和决策部署；研究拟定阿图什市网络安全和信息化发展规划和年度计划并负责组织实施。完成阿图什市委、阿图什市人民政府和阿图什市委网络安全和信息化委员会交办的其他事项。</w:t>
      </w:r>
    </w:p>
    <w:p w14:paraId="745F8505">
      <w:pPr>
        <w:spacing w:line="640" w:lineRule="exact"/>
        <w:ind w:firstLine="640"/>
        <w:jc w:val="both"/>
        <w:outlineLvl w:val="2"/>
      </w:pPr>
      <w:r>
        <w:rPr>
          <w:rFonts w:ascii="黑体" w:hAnsi="黑体" w:eastAsia="黑体"/>
          <w:sz w:val="32"/>
        </w:rPr>
        <w:t>二、机构设置及人员情况</w:t>
      </w:r>
      <w:bookmarkStart w:id="0" w:name="_GoBack"/>
      <w:bookmarkEnd w:id="0"/>
    </w:p>
    <w:p w14:paraId="24E61B38">
      <w:pPr>
        <w:spacing w:line="580" w:lineRule="exact"/>
        <w:ind w:firstLine="640"/>
        <w:jc w:val="both"/>
      </w:pPr>
      <w:r>
        <w:rPr>
          <w:rFonts w:ascii="仿宋_GB2312" w:hAnsi="仿宋_GB2312" w:eastAsia="仿宋_GB2312"/>
          <w:sz w:val="32"/>
        </w:rPr>
        <w:t>中共阿图什市委员会网络安全和信息化委员会办公室2024年度，实有人数30人，其中：在职人员30人，减少1人；离休人员0人，增加0人；退休人员0人,增加0人。</w:t>
      </w:r>
    </w:p>
    <w:p w14:paraId="6D4D243A">
      <w:pPr>
        <w:spacing w:line="580" w:lineRule="exact"/>
        <w:ind w:firstLine="640"/>
        <w:jc w:val="both"/>
      </w:pPr>
      <w:r>
        <w:rPr>
          <w:rFonts w:ascii="仿宋_GB2312" w:hAnsi="仿宋_GB2312" w:eastAsia="仿宋_GB2312"/>
          <w:sz w:val="32"/>
        </w:rPr>
        <w:t>中共阿图什市委员会网络安全和信息化委员会办公室无下属预算单位，下设7个科室，分别是：综合科、网络评论中心、网络协调管理和执法监督科、网络举报中心、网络党建和社会工作科、网络新闻信息传播科、应急指挥中心。</w:t>
      </w:r>
    </w:p>
    <w:p w14:paraId="401DA6DB">
      <w:r>
        <w:br w:type="page"/>
      </w:r>
    </w:p>
    <w:p w14:paraId="70F31F5C">
      <w:pPr>
        <w:spacing w:line="240" w:lineRule="auto"/>
        <w:jc w:val="center"/>
        <w:outlineLvl w:val="1"/>
      </w:pPr>
      <w:r>
        <w:rPr>
          <w:rFonts w:ascii="黑体" w:hAnsi="黑体" w:eastAsia="黑体"/>
          <w:sz w:val="32"/>
        </w:rPr>
        <w:t>第二部分 部门决算情况说明</w:t>
      </w:r>
    </w:p>
    <w:p w14:paraId="0071B252">
      <w:pPr>
        <w:spacing w:line="640" w:lineRule="exact"/>
        <w:ind w:firstLine="640"/>
        <w:jc w:val="both"/>
        <w:outlineLvl w:val="2"/>
      </w:pPr>
      <w:r>
        <w:rPr>
          <w:rFonts w:ascii="黑体" w:hAnsi="黑体" w:eastAsia="黑体"/>
          <w:sz w:val="32"/>
        </w:rPr>
        <w:t>一、收入支出决算总体情况说明</w:t>
      </w:r>
    </w:p>
    <w:p w14:paraId="68F1620C">
      <w:pPr>
        <w:spacing w:line="580" w:lineRule="exact"/>
        <w:ind w:firstLine="640"/>
        <w:jc w:val="both"/>
      </w:pPr>
      <w:r>
        <w:rPr>
          <w:rFonts w:ascii="仿宋_GB2312" w:hAnsi="仿宋_GB2312" w:eastAsia="仿宋_GB2312"/>
          <w:b/>
          <w:sz w:val="32"/>
        </w:rPr>
        <w:t>2024年度收入总计585.17万元，</w:t>
      </w:r>
      <w:r>
        <w:rPr>
          <w:rFonts w:ascii="仿宋_GB2312" w:hAnsi="仿宋_GB2312" w:eastAsia="仿宋_GB2312"/>
          <w:b w:val="0"/>
          <w:sz w:val="32"/>
        </w:rPr>
        <w:t>其中：本年收入合计585.02万元，使用非财政拨款结余（含专用结余）0.00万元，年初结转和结余0.15万元。</w:t>
      </w:r>
    </w:p>
    <w:p w14:paraId="429670FF">
      <w:pPr>
        <w:spacing w:line="580" w:lineRule="exact"/>
        <w:ind w:firstLine="640"/>
        <w:jc w:val="both"/>
      </w:pPr>
      <w:r>
        <w:rPr>
          <w:rFonts w:ascii="仿宋_GB2312" w:hAnsi="仿宋_GB2312" w:eastAsia="仿宋_GB2312"/>
          <w:b/>
          <w:sz w:val="32"/>
        </w:rPr>
        <w:t>2024年度支出总计585.17万元，</w:t>
      </w:r>
      <w:r>
        <w:rPr>
          <w:rFonts w:ascii="仿宋_GB2312" w:hAnsi="仿宋_GB2312" w:eastAsia="仿宋_GB2312"/>
          <w:b w:val="0"/>
          <w:sz w:val="32"/>
        </w:rPr>
        <w:t>其中：本年支出合计584.52万元，结余分配0.00万元，年末结转和结余0.65万元。</w:t>
      </w:r>
    </w:p>
    <w:p w14:paraId="59DD2AAF">
      <w:pPr>
        <w:spacing w:line="580" w:lineRule="exact"/>
        <w:ind w:firstLine="640"/>
        <w:jc w:val="both"/>
      </w:pPr>
      <w:r>
        <w:rPr>
          <w:rFonts w:ascii="仿宋_GB2312" w:hAnsi="仿宋_GB2312" w:eastAsia="仿宋_GB2312"/>
          <w:b w:val="0"/>
          <w:sz w:val="32"/>
        </w:rPr>
        <w:t>收入支出总体与上年相比，增加7.48万元，增长1.29%，主要原因是：本年在职人员工资调增，社保、公积金基数调增，人员经费增加。</w:t>
      </w:r>
    </w:p>
    <w:p w14:paraId="58048E50">
      <w:pPr>
        <w:spacing w:line="640" w:lineRule="exact"/>
        <w:ind w:firstLine="640"/>
        <w:jc w:val="both"/>
        <w:outlineLvl w:val="2"/>
      </w:pPr>
      <w:r>
        <w:rPr>
          <w:rFonts w:ascii="黑体" w:hAnsi="黑体" w:eastAsia="黑体"/>
          <w:sz w:val="32"/>
        </w:rPr>
        <w:t>二、收入决算情况说明</w:t>
      </w:r>
    </w:p>
    <w:p w14:paraId="0AA16537">
      <w:pPr>
        <w:spacing w:line="580" w:lineRule="exact"/>
        <w:ind w:firstLine="640"/>
        <w:jc w:val="both"/>
      </w:pPr>
      <w:r>
        <w:rPr>
          <w:rFonts w:ascii="仿宋_GB2312" w:hAnsi="仿宋_GB2312" w:eastAsia="仿宋_GB2312"/>
          <w:b/>
          <w:sz w:val="32"/>
        </w:rPr>
        <w:t>本年收入585.02万元，</w:t>
      </w:r>
      <w:r>
        <w:rPr>
          <w:rFonts w:ascii="仿宋_GB2312" w:hAnsi="仿宋_GB2312" w:eastAsia="仿宋_GB2312"/>
          <w:b w:val="0"/>
          <w:sz w:val="32"/>
        </w:rPr>
        <w:t>其中：财政拨款收入584.52万元，占99.91%；上级补助收入0.00万元，占0.00%；事业收入0.00万元，占0.00%；经营收入0.00万元，占0.00%；附属单位上缴收入0.00万元，占0.00%；其他收入0.50万元，占0.09%。</w:t>
      </w:r>
    </w:p>
    <w:p w14:paraId="6BA50DE1">
      <w:pPr>
        <w:spacing w:line="640" w:lineRule="exact"/>
        <w:ind w:firstLine="640"/>
        <w:jc w:val="both"/>
        <w:outlineLvl w:val="2"/>
      </w:pPr>
      <w:r>
        <w:rPr>
          <w:rFonts w:ascii="黑体" w:hAnsi="黑体" w:eastAsia="黑体"/>
          <w:sz w:val="32"/>
        </w:rPr>
        <w:t>三、支出决算情况说明</w:t>
      </w:r>
    </w:p>
    <w:p w14:paraId="6B580E54">
      <w:pPr>
        <w:spacing w:line="580" w:lineRule="exact"/>
        <w:ind w:firstLine="640"/>
        <w:jc w:val="both"/>
      </w:pPr>
      <w:r>
        <w:rPr>
          <w:rFonts w:ascii="仿宋_GB2312" w:hAnsi="仿宋_GB2312" w:eastAsia="仿宋_GB2312"/>
          <w:b/>
          <w:sz w:val="32"/>
        </w:rPr>
        <w:t>本年支出584.52万元，</w:t>
      </w:r>
      <w:r>
        <w:rPr>
          <w:rFonts w:ascii="仿宋_GB2312" w:hAnsi="仿宋_GB2312" w:eastAsia="仿宋_GB2312"/>
          <w:b w:val="0"/>
          <w:sz w:val="32"/>
        </w:rPr>
        <w:t>其中：基本支出501.50万元，占85.80%；项目支出83.01万元，占14.20%；上缴上级支出0.00万元，占0.00%；经营支出0.00万元，占0.00%；对附属单位补助支出0.00万元，占0.00%。</w:t>
      </w:r>
    </w:p>
    <w:p w14:paraId="55600DFC">
      <w:pPr>
        <w:spacing w:line="640" w:lineRule="exact"/>
        <w:ind w:firstLine="640"/>
        <w:jc w:val="both"/>
        <w:outlineLvl w:val="2"/>
      </w:pPr>
      <w:r>
        <w:rPr>
          <w:rFonts w:ascii="黑体" w:hAnsi="黑体" w:eastAsia="黑体"/>
          <w:sz w:val="32"/>
        </w:rPr>
        <w:t>四、财政拨款收入支出决算总体情况说明</w:t>
      </w:r>
    </w:p>
    <w:p w14:paraId="334D18B7">
      <w:pPr>
        <w:spacing w:line="580" w:lineRule="exact"/>
        <w:ind w:firstLine="640"/>
        <w:jc w:val="both"/>
      </w:pPr>
      <w:r>
        <w:rPr>
          <w:rFonts w:ascii="仿宋_GB2312" w:hAnsi="仿宋_GB2312" w:eastAsia="仿宋_GB2312"/>
          <w:b/>
          <w:sz w:val="32"/>
        </w:rPr>
        <w:t>2024年度财政拨款收入总计584.52万元，</w:t>
      </w:r>
      <w:r>
        <w:rPr>
          <w:rFonts w:ascii="仿宋_GB2312" w:hAnsi="仿宋_GB2312" w:eastAsia="仿宋_GB2312"/>
          <w:b w:val="0"/>
          <w:sz w:val="32"/>
        </w:rPr>
        <w:t>其中：年初财政拨款结转和结余0.00万元，本年财政拨款收入584.52万元。</w:t>
      </w:r>
      <w:r>
        <w:rPr>
          <w:rFonts w:ascii="仿宋_GB2312" w:hAnsi="仿宋_GB2312" w:eastAsia="仿宋_GB2312"/>
          <w:b/>
          <w:sz w:val="32"/>
        </w:rPr>
        <w:t>财政拨款支出总计584.52万元，</w:t>
      </w:r>
      <w:r>
        <w:rPr>
          <w:rFonts w:ascii="仿宋_GB2312" w:hAnsi="仿宋_GB2312" w:eastAsia="仿宋_GB2312"/>
          <w:b w:val="0"/>
          <w:sz w:val="32"/>
        </w:rPr>
        <w:t>其中：年末财政拨款结转和结余0.00万元，本年财政拨款支出584.52万元。</w:t>
      </w:r>
    </w:p>
    <w:p w14:paraId="662047C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增加7.24万元，增长1.25%，主要原因是：本年在职人员工资调增，社保、公积金基数调增，人员经费增加。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年初预算数813.87万元，决算数584.52万元，预决算差异率-28.18%，主要原因是：年中调减</w:t>
      </w:r>
      <w:r>
        <w:rPr>
          <w:rFonts w:hint="eastAsia" w:ascii="仿宋_GB2312" w:hAnsi="仿宋_GB2312" w:eastAsia="仿宋_GB2312"/>
          <w:b w:val="0"/>
          <w:sz w:val="32"/>
        </w:rPr>
        <w:t>软件服务及链路费项目</w:t>
      </w:r>
      <w:r>
        <w:rPr>
          <w:rFonts w:hint="eastAsia" w:ascii="仿宋_GB2312" w:hAnsi="仿宋_GB2312" w:eastAsia="仿宋_GB2312"/>
          <w:b w:val="0"/>
          <w:sz w:val="32"/>
          <w:lang w:eastAsia="zh-CN"/>
        </w:rPr>
        <w:t>、</w:t>
      </w:r>
      <w:r>
        <w:rPr>
          <w:rFonts w:hint="eastAsia" w:ascii="仿宋_GB2312" w:hAnsi="仿宋_GB2312" w:eastAsia="仿宋_GB2312"/>
          <w:b w:val="0"/>
          <w:sz w:val="32"/>
        </w:rPr>
        <w:t>阿图什市互联网信息办公室项目</w:t>
      </w:r>
      <w:r>
        <w:rPr>
          <w:rFonts w:hint="eastAsia" w:ascii="仿宋_GB2312" w:hAnsi="仿宋_GB2312" w:eastAsia="仿宋_GB2312"/>
          <w:b w:val="0"/>
          <w:sz w:val="32"/>
          <w:lang w:val="en-US" w:eastAsia="zh-CN"/>
        </w:rPr>
        <w:t>等</w:t>
      </w:r>
      <w:r>
        <w:rPr>
          <w:rFonts w:ascii="仿宋_GB2312" w:hAnsi="仿宋_GB2312" w:eastAsia="仿宋_GB2312"/>
          <w:b w:val="0"/>
          <w:sz w:val="32"/>
        </w:rPr>
        <w:t>相关项目经费，导致预决算存在差异。</w:t>
      </w:r>
    </w:p>
    <w:p w14:paraId="1F699E25">
      <w:pPr>
        <w:spacing w:line="640" w:lineRule="exact"/>
        <w:ind w:firstLine="640"/>
        <w:jc w:val="both"/>
        <w:outlineLvl w:val="2"/>
      </w:pPr>
      <w:r>
        <w:rPr>
          <w:rFonts w:ascii="黑体" w:hAnsi="黑体" w:eastAsia="黑体"/>
          <w:sz w:val="32"/>
        </w:rPr>
        <w:t>五、一般公共预算财政拨款支出决算情况说明</w:t>
      </w:r>
    </w:p>
    <w:p w14:paraId="305128D2">
      <w:pPr>
        <w:spacing w:line="640" w:lineRule="exact"/>
        <w:ind w:firstLine="640"/>
        <w:jc w:val="both"/>
        <w:outlineLvl w:val="3"/>
      </w:pPr>
      <w:r>
        <w:rPr>
          <w:rFonts w:ascii="楷体_GB2312" w:hAnsi="楷体_GB2312" w:eastAsia="楷体_GB2312"/>
          <w:b/>
          <w:sz w:val="32"/>
        </w:rPr>
        <w:t>（一）一般公共预算财政拨款支出决算总体情况</w:t>
      </w:r>
    </w:p>
    <w:p w14:paraId="7491AA17">
      <w:pPr>
        <w:spacing w:line="580" w:lineRule="exact"/>
        <w:ind w:firstLine="640"/>
        <w:jc w:val="both"/>
      </w:pPr>
      <w:r>
        <w:rPr>
          <w:rFonts w:ascii="仿宋_GB2312" w:hAnsi="仿宋_GB2312" w:eastAsia="仿宋_GB2312"/>
          <w:b/>
          <w:sz w:val="32"/>
        </w:rPr>
        <w:t>2024年度一般公共预算财政拨款支出584.52万元，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增加7.24万元，增长1.25%，主要原因是：本年在职人员工资调增，社保、公积金基数调增，人员经费增加。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年初预算数813.87万元，决算数584.52万元，预决算差异率-28.18%，主要原因是：本年度本地财力不足，项目资金未能及时支付，年中调减相关项目经费，导致预决算存在差异。</w:t>
      </w:r>
    </w:p>
    <w:p w14:paraId="7EFD9108">
      <w:pPr>
        <w:spacing w:line="640" w:lineRule="exact"/>
        <w:ind w:firstLine="640"/>
        <w:jc w:val="both"/>
        <w:outlineLvl w:val="3"/>
      </w:pPr>
      <w:r>
        <w:rPr>
          <w:rFonts w:ascii="楷体_GB2312" w:hAnsi="楷体_GB2312" w:eastAsia="楷体_GB2312"/>
          <w:b/>
          <w:sz w:val="32"/>
        </w:rPr>
        <w:t>（二）一般公共预算财政拨款支出决算结构情况</w:t>
      </w:r>
    </w:p>
    <w:p w14:paraId="7AC0A8F6">
      <w:pPr>
        <w:spacing w:line="580" w:lineRule="exact"/>
        <w:ind w:firstLine="640"/>
        <w:jc w:val="both"/>
      </w:pPr>
      <w:r>
        <w:rPr>
          <w:rFonts w:ascii="仿宋_GB2312" w:hAnsi="仿宋_GB2312" w:eastAsia="仿宋_GB2312"/>
          <w:b w:val="0"/>
          <w:sz w:val="32"/>
        </w:rPr>
        <w:t>1.一般公共服务支出(类)481.89万元,占82.44%。</w:t>
      </w:r>
    </w:p>
    <w:p w14:paraId="3F179ED4">
      <w:pPr>
        <w:spacing w:line="580" w:lineRule="exact"/>
        <w:ind w:firstLine="640"/>
        <w:jc w:val="both"/>
      </w:pPr>
      <w:r>
        <w:rPr>
          <w:rFonts w:ascii="仿宋_GB2312" w:hAnsi="仿宋_GB2312" w:eastAsia="仿宋_GB2312"/>
          <w:b w:val="0"/>
          <w:sz w:val="32"/>
        </w:rPr>
        <w:t>2.社会保障和就业支出(类)48.33万元,占8.27%。</w:t>
      </w:r>
    </w:p>
    <w:p w14:paraId="1ACD72B1">
      <w:pPr>
        <w:spacing w:line="580" w:lineRule="exact"/>
        <w:ind w:firstLine="640"/>
        <w:jc w:val="both"/>
      </w:pPr>
      <w:r>
        <w:rPr>
          <w:rFonts w:ascii="仿宋_GB2312" w:hAnsi="仿宋_GB2312" w:eastAsia="仿宋_GB2312"/>
          <w:b w:val="0"/>
          <w:sz w:val="32"/>
        </w:rPr>
        <w:t>3.卫生健康支出(类)15.53万元,占2.66%。</w:t>
      </w:r>
    </w:p>
    <w:p w14:paraId="2F99C6CF">
      <w:pPr>
        <w:spacing w:line="580" w:lineRule="exact"/>
        <w:ind w:firstLine="640"/>
        <w:jc w:val="both"/>
      </w:pPr>
      <w:r>
        <w:rPr>
          <w:rFonts w:ascii="仿宋_GB2312" w:hAnsi="仿宋_GB2312" w:eastAsia="仿宋_GB2312"/>
          <w:b w:val="0"/>
          <w:sz w:val="32"/>
        </w:rPr>
        <w:t>4.住房保障支出(类)38.77万元,占6.63%。</w:t>
      </w:r>
    </w:p>
    <w:p w14:paraId="0558C1B4">
      <w:pPr>
        <w:spacing w:line="640" w:lineRule="exact"/>
        <w:ind w:firstLine="640"/>
        <w:jc w:val="both"/>
        <w:outlineLvl w:val="3"/>
      </w:pPr>
      <w:r>
        <w:rPr>
          <w:rFonts w:ascii="楷体_GB2312" w:hAnsi="楷体_GB2312" w:eastAsia="楷体_GB2312"/>
          <w:b/>
          <w:sz w:val="32"/>
        </w:rPr>
        <w:t>（三）一般公共预算财政拨款支出决算具体情况</w:t>
      </w:r>
    </w:p>
    <w:p w14:paraId="3130380B">
      <w:pPr>
        <w:spacing w:line="580" w:lineRule="exact"/>
        <w:ind w:firstLine="640"/>
        <w:jc w:val="both"/>
      </w:pPr>
      <w:r>
        <w:rPr>
          <w:rFonts w:ascii="仿宋_GB2312" w:hAnsi="仿宋_GB2312" w:eastAsia="仿宋_GB2312"/>
          <w:b w:val="0"/>
          <w:sz w:val="32"/>
        </w:rPr>
        <w:t>1.一般公共服务支出(类)组织事务(款)其他组织事务支出(项):支出决算数为1.15万元，比上年决算减少2.53万元，下降68.75%,主要原因是：本年度本着过紧日子的目标，深入群众一线，切实了解</w:t>
      </w:r>
      <w:r>
        <w:rPr>
          <w:rFonts w:hint="eastAsia" w:ascii="仿宋_GB2312" w:hAnsi="仿宋_GB2312" w:eastAsia="仿宋_GB2312"/>
          <w:b w:val="0"/>
          <w:sz w:val="32"/>
          <w:lang w:eastAsia="zh-CN"/>
        </w:rPr>
        <w:t>人民群众急难愁盼问题</w:t>
      </w:r>
      <w:r>
        <w:rPr>
          <w:rFonts w:ascii="仿宋_GB2312" w:hAnsi="仿宋_GB2312" w:eastAsia="仿宋_GB2312"/>
          <w:b w:val="0"/>
          <w:sz w:val="32"/>
        </w:rPr>
        <w:t>，在实际解决问题的同时减少了经费开支。</w:t>
      </w:r>
    </w:p>
    <w:p w14:paraId="174AAA85">
      <w:pPr>
        <w:spacing w:line="580" w:lineRule="exact"/>
        <w:ind w:firstLine="640"/>
        <w:jc w:val="both"/>
      </w:pPr>
      <w:r>
        <w:rPr>
          <w:rFonts w:ascii="仿宋_GB2312" w:hAnsi="仿宋_GB2312" w:eastAsia="仿宋_GB2312"/>
          <w:b w:val="0"/>
          <w:sz w:val="32"/>
        </w:rPr>
        <w:t>2.一般公共服务支出(类)网信事务(款)行政运行(项):支出决算数为85.13万元，比上年决算减少89.54万元，下降51.26%,主要原因是：本年功能科目调整，将特定类项目由行政运行科目调整至其他网信事务支出科目，导致经费支出减少。</w:t>
      </w:r>
    </w:p>
    <w:p w14:paraId="68C9E295">
      <w:pPr>
        <w:spacing w:line="580" w:lineRule="exact"/>
        <w:ind w:firstLine="640"/>
        <w:jc w:val="both"/>
      </w:pPr>
      <w:r>
        <w:rPr>
          <w:rFonts w:ascii="仿宋_GB2312" w:hAnsi="仿宋_GB2312" w:eastAsia="仿宋_GB2312"/>
          <w:b w:val="0"/>
          <w:sz w:val="32"/>
        </w:rPr>
        <w:t>3.一般公共服务支出(类)网信事务(款)事业运行(项):支出决算数为313.75万元，比上年决算增加9.20万元，增长3.02%,主要原因是：本年事业人员基本工资调标、职称晋升，人员工资进行调整，人员经费支出增加。</w:t>
      </w:r>
    </w:p>
    <w:p w14:paraId="46344640">
      <w:pPr>
        <w:spacing w:line="580" w:lineRule="exact"/>
        <w:ind w:firstLine="640"/>
        <w:jc w:val="both"/>
      </w:pPr>
      <w:r>
        <w:rPr>
          <w:rFonts w:ascii="仿宋_GB2312" w:hAnsi="仿宋_GB2312" w:eastAsia="仿宋_GB2312"/>
          <w:b w:val="0"/>
          <w:sz w:val="32"/>
        </w:rPr>
        <w:t>4.一般公共服务支出(类)网信事务(款)其他网信事务支出(项):支出决算数为81.87万元，比上年决算增加81.87万元，增长100.00%,主要原因是：本年功能科目调整，将特定类项目由行政运行科目调整至其他网信事务支出科目，导致经费支出增加。</w:t>
      </w:r>
    </w:p>
    <w:p w14:paraId="66C16124">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48.33万元，比上年决算增加5.12万元，增长11.85%,主要原因是：本年在职人员工资基数调增，养老缴费基数上涨，相应支出增加。</w:t>
      </w:r>
    </w:p>
    <w:p w14:paraId="5604C42B">
      <w:pPr>
        <w:spacing w:line="580" w:lineRule="exact"/>
        <w:ind w:firstLine="640"/>
        <w:jc w:val="both"/>
      </w:pPr>
      <w:r>
        <w:rPr>
          <w:rFonts w:ascii="仿宋_GB2312" w:hAnsi="仿宋_GB2312" w:eastAsia="仿宋_GB2312"/>
          <w:b w:val="0"/>
          <w:sz w:val="32"/>
        </w:rPr>
        <w:t>6.卫生健康支出(类)行政事业单位医疗(款)行政单位医疗(项):支出决算数为3.61万元，比上年决算增加0.21万元，增长6.18%,主要原因是：本年在职人员工资基数调增，医疗缴费基数上涨，相应支出增加。</w:t>
      </w:r>
    </w:p>
    <w:p w14:paraId="7A6D6CCA">
      <w:pPr>
        <w:spacing w:line="580" w:lineRule="exact"/>
        <w:ind w:firstLine="640"/>
        <w:jc w:val="both"/>
      </w:pPr>
      <w:r>
        <w:rPr>
          <w:rFonts w:ascii="仿宋_GB2312" w:hAnsi="仿宋_GB2312" w:eastAsia="仿宋_GB2312"/>
          <w:b w:val="0"/>
          <w:sz w:val="32"/>
        </w:rPr>
        <w:t>7.卫生健康支出(类)行政事业单位医疗(款)事业单位医疗(项):支出决算数为11.91万元，比上年决算增加1.03万元，增长9.47%,主要原因是：本年在职人员工资基数调增，医疗缴费基数上涨，相应支出增加。</w:t>
      </w:r>
    </w:p>
    <w:p w14:paraId="547A2BEF">
      <w:pPr>
        <w:spacing w:line="580" w:lineRule="exact"/>
        <w:ind w:firstLine="640"/>
        <w:jc w:val="both"/>
      </w:pPr>
      <w:r>
        <w:rPr>
          <w:rFonts w:ascii="仿宋_GB2312" w:hAnsi="仿宋_GB2312" w:eastAsia="仿宋_GB2312"/>
          <w:b w:val="0"/>
          <w:sz w:val="32"/>
        </w:rPr>
        <w:t>8.住房保障支出(类)住房改革支出(款)住房公积金(项):支出决算数为38.77万元，比上年决算增加1.88万元，增长5.10%,主要原因是：本年在职人员工资基数调增，公积金缴费基数上涨，相应支出增加。</w:t>
      </w:r>
    </w:p>
    <w:p w14:paraId="46DCD361">
      <w:pPr>
        <w:spacing w:line="640" w:lineRule="exact"/>
        <w:ind w:firstLine="640"/>
        <w:jc w:val="both"/>
        <w:outlineLvl w:val="2"/>
      </w:pPr>
      <w:r>
        <w:rPr>
          <w:rFonts w:ascii="黑体" w:hAnsi="黑体" w:eastAsia="黑体"/>
          <w:sz w:val="32"/>
        </w:rPr>
        <w:t>六、一般公共预算财政拨款基本支出决算情况说明</w:t>
      </w:r>
    </w:p>
    <w:p w14:paraId="5A127DDC">
      <w:pPr>
        <w:spacing w:line="580" w:lineRule="exact"/>
        <w:ind w:firstLine="640"/>
        <w:jc w:val="both"/>
      </w:pPr>
      <w:r>
        <w:rPr>
          <w:rFonts w:ascii="仿宋_GB2312" w:hAnsi="仿宋_GB2312" w:eastAsia="仿宋_GB2312"/>
          <w:b w:val="0"/>
          <w:sz w:val="32"/>
        </w:rPr>
        <w:t>2024年度一般公共预算财政拨款基本支出501.50万元，其中：</w:t>
      </w:r>
      <w:r>
        <w:rPr>
          <w:rFonts w:ascii="仿宋_GB2312" w:hAnsi="仿宋_GB2312" w:eastAsia="仿宋_GB2312"/>
          <w:b/>
          <w:sz w:val="32"/>
        </w:rPr>
        <w:t>人员经费496.70万元，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包括：基本工资、津贴补贴、奖金、机关事业单位基本养老保险缴费、职业年金缴费、职工基本医疗保险缴费、其他社会保障缴费、住房公积金、奖励金。</w:t>
      </w:r>
    </w:p>
    <w:p w14:paraId="0EA9C384">
      <w:pPr>
        <w:spacing w:line="580" w:lineRule="exact"/>
        <w:ind w:firstLine="640"/>
        <w:jc w:val="both"/>
      </w:pPr>
      <w:r>
        <w:rPr>
          <w:rFonts w:ascii="仿宋_GB2312" w:hAnsi="仿宋_GB2312" w:eastAsia="仿宋_GB2312"/>
          <w:b/>
          <w:sz w:val="32"/>
        </w:rPr>
        <w:t>公用经费4.80万元，</w:t>
      </w:r>
      <w:r>
        <w:rPr>
          <w:rFonts w:ascii="仿宋_GB2312" w:hAnsi="仿宋_GB2312" w:eastAsia="仿宋_GB2312"/>
          <w:b w:val="0"/>
          <w:sz w:val="32"/>
        </w:rPr>
        <w:t>包括：办公费、手续费、水费、电费、劳务费。</w:t>
      </w:r>
    </w:p>
    <w:p w14:paraId="3DF9DDBF">
      <w:pPr>
        <w:spacing w:line="640" w:lineRule="exact"/>
        <w:ind w:firstLine="640"/>
        <w:jc w:val="both"/>
        <w:outlineLvl w:val="2"/>
      </w:pPr>
      <w:r>
        <w:rPr>
          <w:rFonts w:ascii="黑体" w:hAnsi="黑体" w:eastAsia="黑体"/>
          <w:sz w:val="32"/>
        </w:rPr>
        <w:t>七、政府性基金预算财政拨款收入支出决算情况说明</w:t>
      </w:r>
    </w:p>
    <w:p w14:paraId="63C4255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A5F3451">
      <w:pPr>
        <w:spacing w:line="640" w:lineRule="exact"/>
        <w:ind w:firstLine="640"/>
        <w:jc w:val="both"/>
        <w:outlineLvl w:val="2"/>
      </w:pPr>
      <w:r>
        <w:rPr>
          <w:rFonts w:ascii="黑体" w:hAnsi="黑体" w:eastAsia="黑体"/>
          <w:sz w:val="32"/>
        </w:rPr>
        <w:t>八、国有资本经营预算财政拨款收入支出决算情况说明</w:t>
      </w:r>
    </w:p>
    <w:p w14:paraId="6704489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A0D7836">
      <w:pPr>
        <w:spacing w:line="640" w:lineRule="exact"/>
        <w:ind w:firstLine="640"/>
        <w:jc w:val="both"/>
        <w:outlineLvl w:val="2"/>
      </w:pPr>
      <w:r>
        <w:rPr>
          <w:rFonts w:ascii="黑体" w:hAnsi="黑体" w:eastAsia="黑体"/>
          <w:sz w:val="32"/>
        </w:rPr>
        <w:t>九、财政拨款“三公”经费支出决算情况说明</w:t>
      </w:r>
    </w:p>
    <w:p w14:paraId="4B45830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6B2251A">
      <w:pPr>
        <w:spacing w:line="580" w:lineRule="exact"/>
        <w:ind w:firstLine="640"/>
        <w:jc w:val="both"/>
      </w:pPr>
      <w:r>
        <w:rPr>
          <w:rFonts w:ascii="仿宋_GB2312" w:hAnsi="仿宋_GB2312" w:eastAsia="仿宋_GB2312"/>
          <w:b/>
          <w:sz w:val="32"/>
        </w:rPr>
        <w:t>具体情况如下：</w:t>
      </w:r>
    </w:p>
    <w:p w14:paraId="528F12D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8DCB66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5E6390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E3839A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1738027">
      <w:pPr>
        <w:spacing w:line="640" w:lineRule="exact"/>
        <w:ind w:firstLine="640"/>
        <w:jc w:val="both"/>
        <w:outlineLvl w:val="2"/>
      </w:pPr>
      <w:r>
        <w:rPr>
          <w:rFonts w:ascii="黑体" w:hAnsi="黑体" w:eastAsia="黑体"/>
          <w:sz w:val="32"/>
        </w:rPr>
        <w:t>十、其他重要事项的情况说明</w:t>
      </w:r>
    </w:p>
    <w:p w14:paraId="251D25FB">
      <w:pPr>
        <w:spacing w:line="640" w:lineRule="exact"/>
        <w:ind w:firstLine="640"/>
        <w:jc w:val="both"/>
        <w:outlineLvl w:val="3"/>
      </w:pPr>
      <w:r>
        <w:rPr>
          <w:rFonts w:ascii="楷体_GB2312" w:hAnsi="楷体_GB2312" w:eastAsia="楷体_GB2312"/>
          <w:b/>
          <w:sz w:val="32"/>
        </w:rPr>
        <w:t>（一）机关运行经费及公用经费支出情况</w:t>
      </w:r>
    </w:p>
    <w:p w14:paraId="6F7184B3">
      <w:pPr>
        <w:spacing w:line="580" w:lineRule="exact"/>
        <w:ind w:firstLine="640"/>
        <w:jc w:val="both"/>
      </w:pPr>
      <w:r>
        <w:rPr>
          <w:rFonts w:ascii="仿宋_GB2312" w:hAnsi="仿宋_GB2312" w:eastAsia="仿宋_GB2312"/>
          <w:b w:val="0"/>
          <w:sz w:val="32"/>
        </w:rPr>
        <w:t>2024年度中共阿图什市委员会网络安全和信息化委员会办公室（行政单位和参照公务员法管理事业单位）机关运行经费支出4.80万元，比上年减少89.05万元，下降94.89%，主要原因是：上年项目资金在机关运行经费中列支，</w:t>
      </w:r>
      <w:r>
        <w:rPr>
          <w:rFonts w:hint="eastAsia" w:ascii="仿宋_GB2312" w:hAnsi="仿宋_GB2312" w:eastAsia="仿宋_GB2312"/>
          <w:b w:val="0"/>
          <w:sz w:val="32"/>
          <w:lang w:val="en-US" w:eastAsia="zh-CN"/>
        </w:rPr>
        <w:t>本年调整至项目经费列支</w:t>
      </w:r>
      <w:r>
        <w:rPr>
          <w:rFonts w:ascii="仿宋_GB2312" w:hAnsi="仿宋_GB2312" w:eastAsia="仿宋_GB2312"/>
          <w:b w:val="0"/>
          <w:sz w:val="32"/>
        </w:rPr>
        <w:t>，故机关运行经费减少。</w:t>
      </w:r>
    </w:p>
    <w:p w14:paraId="4990AE72">
      <w:pPr>
        <w:spacing w:line="640" w:lineRule="exact"/>
        <w:ind w:firstLine="640"/>
        <w:jc w:val="both"/>
        <w:outlineLvl w:val="3"/>
      </w:pPr>
      <w:r>
        <w:rPr>
          <w:rFonts w:ascii="楷体_GB2312" w:hAnsi="楷体_GB2312" w:eastAsia="楷体_GB2312"/>
          <w:b/>
          <w:sz w:val="32"/>
        </w:rPr>
        <w:t>（二）政府采购情况</w:t>
      </w:r>
    </w:p>
    <w:p w14:paraId="0D9E854A">
      <w:pPr>
        <w:spacing w:line="580" w:lineRule="exact"/>
        <w:ind w:firstLine="640"/>
        <w:jc w:val="both"/>
      </w:pPr>
      <w:r>
        <w:rPr>
          <w:rFonts w:ascii="仿宋_GB2312" w:hAnsi="仿宋_GB2312" w:eastAsia="仿宋_GB2312"/>
          <w:b w:val="0"/>
          <w:sz w:val="32"/>
        </w:rPr>
        <w:t>2024年度政府采购支出总额62.41万元，其中：政府采购货物支出5.16万元、政府采购工程支出0.00万元、政府采购服务支出57.25万元。</w:t>
      </w:r>
    </w:p>
    <w:p w14:paraId="62A769B8">
      <w:pPr>
        <w:spacing w:line="580" w:lineRule="exact"/>
        <w:ind w:firstLine="640"/>
        <w:jc w:val="both"/>
      </w:pPr>
      <w:r>
        <w:rPr>
          <w:rFonts w:ascii="仿宋_GB2312" w:hAnsi="仿宋_GB2312" w:eastAsia="仿宋_GB2312"/>
          <w:b w:val="0"/>
          <w:sz w:val="32"/>
        </w:rPr>
        <w:t>授予中小企业合同金额62.40万元，占政府采购支出总额的99.98%，其中：授予小微企业合同金额35.15万元，占政府采购支出总额的56.32%。</w:t>
      </w:r>
    </w:p>
    <w:p w14:paraId="05D0B366">
      <w:pPr>
        <w:spacing w:line="640" w:lineRule="exact"/>
        <w:ind w:firstLine="640"/>
        <w:jc w:val="both"/>
        <w:outlineLvl w:val="3"/>
      </w:pPr>
      <w:r>
        <w:rPr>
          <w:rFonts w:ascii="楷体_GB2312" w:hAnsi="楷体_GB2312" w:eastAsia="楷体_GB2312"/>
          <w:b/>
          <w:sz w:val="32"/>
        </w:rPr>
        <w:t>（三）国有资产占用情况说明</w:t>
      </w:r>
    </w:p>
    <w:p w14:paraId="2922B21A">
      <w:pPr>
        <w:spacing w:line="580" w:lineRule="exact"/>
        <w:ind w:firstLine="640"/>
        <w:jc w:val="both"/>
      </w:pPr>
      <w:r>
        <w:rPr>
          <w:rFonts w:ascii="仿宋_GB2312" w:hAnsi="仿宋_GB2312" w:eastAsia="仿宋_GB2312"/>
          <w:b w:val="0"/>
          <w:sz w:val="32"/>
        </w:rPr>
        <w:t>截至2024年12月31日，房屋28.00平方米，价值1.37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2E1992D">
      <w:pPr>
        <w:spacing w:line="640" w:lineRule="exact"/>
        <w:ind w:firstLine="640"/>
        <w:jc w:val="both"/>
        <w:outlineLvl w:val="2"/>
      </w:pPr>
      <w:r>
        <w:rPr>
          <w:rFonts w:ascii="黑体" w:hAnsi="黑体" w:eastAsia="黑体"/>
          <w:sz w:val="32"/>
        </w:rPr>
        <w:t>十一、预算绩效的情况说明</w:t>
      </w:r>
    </w:p>
    <w:p w14:paraId="136BB8A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585.17万元，实际执行总额584.51万元；预算绩效评价项目2个，全年预算数290.38万元，全年执行数81.87万元。预算绩效管理取得的成效：一是抓好绩效目标编制，即时报送绩效目标；二是探索绩效跟踪监控，要求增强过程监控，对已纳入我办绩效目标管理范畴的项目支出，采取年中跟踪绩效运行信息；三是深入</w:t>
      </w:r>
      <w:r>
        <w:rPr>
          <w:rFonts w:hint="eastAsia" w:ascii="仿宋_GB2312" w:hAnsi="仿宋_GB2312" w:eastAsia="仿宋_GB2312"/>
          <w:b w:val="0"/>
          <w:sz w:val="32"/>
          <w:lang w:eastAsia="zh-CN"/>
        </w:rPr>
        <w:t>开展</w:t>
      </w:r>
      <w:r>
        <w:rPr>
          <w:rFonts w:ascii="仿宋_GB2312" w:hAnsi="仿宋_GB2312" w:eastAsia="仿宋_GB2312"/>
          <w:b w:val="0"/>
          <w:sz w:val="32"/>
        </w:rPr>
        <w:t>项目支出绩效评价，对所有项目实施绩效自评和项目核查，在此基础上形成自评报告；四是强化评价结果应用，组织绩效自评和绩效跟踪监控，对发现的问题现场反馈并要求改进，增强评价结果与项目资金安排的衔接；五是健全绩效管理工作机制，明确职责分工，组织专题培训，提升基层单位绩效管理工作水平。发现的问题及原因：一是预算执行存在偏差，</w:t>
      </w:r>
      <w:r>
        <w:rPr>
          <w:rFonts w:hint="eastAsia" w:ascii="仿宋_GB2312" w:hAnsi="仿宋_GB2312" w:eastAsia="仿宋_GB2312"/>
          <w:b w:val="0"/>
          <w:sz w:val="32"/>
          <w:lang w:eastAsia="zh-CN"/>
        </w:rPr>
        <w:t>由于部</w:t>
      </w:r>
      <w:r>
        <w:rPr>
          <w:rFonts w:ascii="仿宋_GB2312" w:hAnsi="仿宋_GB2312" w:eastAsia="仿宋_GB2312"/>
          <w:b w:val="0"/>
          <w:sz w:val="32"/>
        </w:rPr>
        <w:t>门预算项目资金支付手续不完整，年初计划不够精准等原因，</w:t>
      </w:r>
      <w:r>
        <w:rPr>
          <w:rFonts w:hint="eastAsia" w:ascii="仿宋_GB2312" w:hAnsi="仿宋_GB2312" w:eastAsia="仿宋_GB2312"/>
          <w:b w:val="0"/>
          <w:sz w:val="32"/>
          <w:lang w:eastAsia="zh-CN"/>
        </w:rPr>
        <w:t>个别</w:t>
      </w:r>
      <w:r>
        <w:rPr>
          <w:rFonts w:ascii="仿宋_GB2312" w:hAnsi="仿宋_GB2312" w:eastAsia="仿宋_GB2312"/>
          <w:b w:val="0"/>
          <w:sz w:val="32"/>
        </w:rPr>
        <w:t>指标存在偏差，项目资金支付率偏低，部门单位在项目资金支出，执行方面未做到全方位管理及跟踪；二是目标设定科学性及评价存在难度，对于目标设定需要分科室单位分解,汇总后制定整体目标，如何科学整合全单位绩效目标比较困难；目标设定后如何科学设定考核评价标准；三是财务管理方面，会计核算还不够细致,对于有些能够细分的工作,未能详细分类核算,绩效评价基础数据不够精准。下一步改进措施：一是加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单位预算收支核算。制定和完善基本支出、项目支出等各项支出标准,严格按项目和进度执行预算,增强预算的约束力和严肃性；落实预算执行分析,及时了解预算执行差异,合理调整、纠正预算执行偏差，切实提高单位预算收支管理水平。尽可能地做到决算与预算相衔接。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三是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单位的紧密配合,开展好整体支出及项目资金绩效管理工作,运用好绩效评价的结果,不断提升预算管理水平。具体附整体支出绩效自评表，项目支出绩效自评表和评价报告。</w:t>
      </w:r>
    </w:p>
    <w:p w14:paraId="2CC81A4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E6A9633">
        <w:tblPrEx>
          <w:tblCellMar>
            <w:top w:w="0" w:type="dxa"/>
            <w:left w:w="108" w:type="dxa"/>
            <w:bottom w:w="0" w:type="dxa"/>
            <w:right w:w="108" w:type="dxa"/>
          </w:tblCellMar>
        </w:tblPrEx>
        <w:tc>
          <w:tcPr>
            <w:tcW w:w="8840" w:type="dxa"/>
            <w:gridSpan w:val="8"/>
            <w:vAlign w:val="center"/>
          </w:tcPr>
          <w:p w14:paraId="7E439DE7">
            <w:pPr>
              <w:jc w:val="center"/>
            </w:pPr>
            <w:r>
              <w:rPr>
                <w:rFonts w:ascii="宋体" w:hAnsi="宋体" w:eastAsia="宋体"/>
                <w:sz w:val="24"/>
              </w:rPr>
              <w:t>单位整体支出绩效自评表</w:t>
            </w:r>
          </w:p>
        </w:tc>
      </w:tr>
      <w:tr w14:paraId="48FFD381">
        <w:tblPrEx>
          <w:tblCellMar>
            <w:top w:w="0" w:type="dxa"/>
            <w:left w:w="108" w:type="dxa"/>
            <w:bottom w:w="0" w:type="dxa"/>
            <w:right w:w="108" w:type="dxa"/>
          </w:tblCellMar>
        </w:tblPrEx>
        <w:tc>
          <w:tcPr>
            <w:tcW w:w="8840" w:type="dxa"/>
            <w:gridSpan w:val="8"/>
            <w:vAlign w:val="center"/>
          </w:tcPr>
          <w:p w14:paraId="2EC5A2E3">
            <w:pPr>
              <w:jc w:val="center"/>
            </w:pPr>
            <w:r>
              <w:rPr>
                <w:rFonts w:ascii="宋体" w:hAnsi="宋体" w:eastAsia="宋体"/>
                <w:sz w:val="24"/>
              </w:rPr>
              <w:t>（2024年度）</w:t>
            </w:r>
          </w:p>
        </w:tc>
      </w:tr>
      <w:tr w14:paraId="68F8407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A11A6E">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4994D1">
            <w:pPr>
              <w:jc w:val="center"/>
            </w:pPr>
            <w:r>
              <w:rPr>
                <w:rFonts w:ascii="宋体" w:hAnsi="宋体" w:eastAsia="宋体"/>
                <w:sz w:val="16"/>
              </w:rPr>
              <w:t>中共阿图什市委员会网络安全和信息化委员会办公室</w:t>
            </w:r>
          </w:p>
        </w:tc>
      </w:tr>
      <w:tr w14:paraId="68CE63F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3A52F">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1B3251">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830715">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0E6FA7">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B6A2CB">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0C63A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3F3A10">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8F2D6C">
            <w:pPr>
              <w:jc w:val="center"/>
            </w:pPr>
            <w:r>
              <w:rPr>
                <w:rFonts w:ascii="宋体" w:hAnsi="宋体" w:eastAsia="宋体"/>
                <w:sz w:val="16"/>
              </w:rPr>
              <w:t>得分</w:t>
            </w:r>
          </w:p>
        </w:tc>
      </w:tr>
      <w:tr w14:paraId="3944680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B2DEBF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CB74E5">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50BEB6">
            <w:pPr>
              <w:jc w:val="center"/>
            </w:pPr>
            <w:r>
              <w:rPr>
                <w:rFonts w:ascii="宋体" w:hAnsi="宋体" w:eastAsia="宋体"/>
                <w:sz w:val="16"/>
              </w:rPr>
              <w:t>812.94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3EACDA">
            <w:pPr>
              <w:jc w:val="center"/>
            </w:pPr>
            <w:r>
              <w:rPr>
                <w:rFonts w:ascii="宋体" w:hAnsi="宋体" w:eastAsia="宋体"/>
                <w:sz w:val="16"/>
              </w:rPr>
              <w:t>585.17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D70699">
            <w:pPr>
              <w:jc w:val="center"/>
            </w:pPr>
            <w:r>
              <w:rPr>
                <w:rFonts w:ascii="宋体" w:hAnsi="宋体" w:eastAsia="宋体"/>
                <w:sz w:val="16"/>
              </w:rPr>
              <w:t>584.51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B17B5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07B142">
            <w:pPr>
              <w:jc w:val="center"/>
            </w:pPr>
            <w:r>
              <w:rPr>
                <w:rFonts w:ascii="宋体" w:hAnsi="宋体" w:eastAsia="宋体"/>
                <w:sz w:val="16"/>
              </w:rPr>
              <w:t>99.89%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2AC1BD">
            <w:pPr>
              <w:jc w:val="center"/>
            </w:pPr>
            <w:r>
              <w:rPr>
                <w:rFonts w:hint="eastAsia" w:ascii="宋体" w:hAnsi="宋体" w:eastAsia="宋体"/>
                <w:sz w:val="16"/>
              </w:rPr>
              <w:t>9.99</w:t>
            </w:r>
          </w:p>
        </w:tc>
      </w:tr>
      <w:tr w14:paraId="6FC76CC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7CCD0B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126667">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65827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AAC17D">
            <w:pPr>
              <w:jc w:val="center"/>
            </w:pPr>
            <w:r>
              <w:rPr>
                <w:rFonts w:ascii="宋体" w:hAnsi="宋体" w:eastAsia="宋体"/>
                <w:sz w:val="16"/>
              </w:rPr>
              <w:t>1.15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971F4A">
            <w:pPr>
              <w:jc w:val="center"/>
            </w:pPr>
            <w:r>
              <w:rPr>
                <w:rFonts w:ascii="宋体" w:hAnsi="宋体" w:eastAsia="宋体"/>
                <w:sz w:val="16"/>
              </w:rPr>
              <w:t>1.15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7EE45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D85BC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EF43BD">
            <w:pPr>
              <w:jc w:val="center"/>
            </w:pPr>
            <w:r>
              <w:rPr>
                <w:rFonts w:ascii="宋体" w:hAnsi="宋体" w:eastAsia="宋体"/>
                <w:sz w:val="16"/>
              </w:rPr>
              <w:t>—</w:t>
            </w:r>
          </w:p>
        </w:tc>
      </w:tr>
      <w:tr w14:paraId="1803A9D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C37B5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23D1A5">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D3048B">
            <w:pPr>
              <w:jc w:val="center"/>
            </w:pPr>
            <w:r>
              <w:rPr>
                <w:rFonts w:ascii="宋体" w:hAnsi="宋体" w:eastAsia="宋体"/>
                <w:sz w:val="16"/>
              </w:rPr>
              <w:t>812.94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01AA4F">
            <w:pPr>
              <w:jc w:val="center"/>
            </w:pPr>
            <w:r>
              <w:rPr>
                <w:rFonts w:ascii="宋体" w:hAnsi="宋体" w:eastAsia="宋体"/>
                <w:sz w:val="16"/>
              </w:rPr>
              <w:t>584.02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6A952B">
            <w:pPr>
              <w:jc w:val="center"/>
            </w:pPr>
            <w:r>
              <w:rPr>
                <w:rFonts w:ascii="宋体" w:hAnsi="宋体" w:eastAsia="宋体"/>
                <w:sz w:val="16"/>
              </w:rPr>
              <w:t>583.36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CEFC6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90882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04923A">
            <w:pPr>
              <w:jc w:val="center"/>
            </w:pPr>
            <w:r>
              <w:rPr>
                <w:rFonts w:ascii="宋体" w:hAnsi="宋体" w:eastAsia="宋体"/>
                <w:sz w:val="16"/>
              </w:rPr>
              <w:t>—</w:t>
            </w:r>
          </w:p>
        </w:tc>
      </w:tr>
      <w:tr w14:paraId="7164162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F4F21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DA612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CAB21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67AC8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E1FC9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B26A5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045BB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09A94A">
            <w:pPr>
              <w:jc w:val="center"/>
            </w:pPr>
            <w:r>
              <w:rPr>
                <w:rFonts w:ascii="宋体" w:hAnsi="宋体" w:eastAsia="宋体"/>
                <w:sz w:val="16"/>
              </w:rPr>
              <w:t>—</w:t>
            </w:r>
          </w:p>
        </w:tc>
      </w:tr>
      <w:tr w14:paraId="26F7094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E3317">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2710A0">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A47918">
            <w:pPr>
              <w:jc w:val="center"/>
            </w:pPr>
            <w:r>
              <w:rPr>
                <w:rFonts w:ascii="宋体" w:hAnsi="宋体" w:eastAsia="宋体"/>
                <w:sz w:val="16"/>
              </w:rPr>
              <w:t>实际完成情况</w:t>
            </w:r>
          </w:p>
        </w:tc>
      </w:tr>
      <w:tr w14:paraId="0F871CF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7D19E3"/>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8BC1C3">
            <w:pPr>
              <w:jc w:val="both"/>
            </w:pPr>
            <w:r>
              <w:rPr>
                <w:rFonts w:ascii="宋体" w:hAnsi="宋体" w:eastAsia="宋体"/>
                <w:sz w:val="16"/>
              </w:rPr>
              <w:t>单位基本职能：根据中共阿图什市委员会网络安全和信息化委员会办公室的三定方案，本单位职能涉密，不宜公开。</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机构设置及人员配置：无下属预算单位，下设7个科室，编制数35，实有人数32人，在职32人。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中长期规划：从加强组织领导、健全政策体系、强化队伍建设、规范各项制度、强化战略研究和加强舆论宣传等6个方面保障实施，确保目标任务落到实处。</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保障单位在职32人，退休0人的工资福利及各项补助正常发放及部门正常运转；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保障单位预算项目按计划实施，便于开展属地网络安全各项工作，提高属地互联网信息化服务质量，引导属地网上正面宣传，牢牢把握住网上舆论导向，不仅要让老百姓在共享互联网发展成果上有更多获得感，要为人民营造天朗气清的网络空间精神家园。</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F367C1">
            <w:pPr>
              <w:jc w:val="both"/>
            </w:pPr>
            <w:r>
              <w:rPr>
                <w:rFonts w:ascii="宋体" w:hAnsi="宋体" w:eastAsia="宋体"/>
                <w:sz w:val="16"/>
              </w:rPr>
              <w:t>本单位共计支出584.51万元，用于保障部门在职30人的各项补助正常发放及部门单位正常运转，单位预算项目根据年初计划均已完成，保障单位预算项目按计划实施，年度任务中完成开展网络安全宣传4场次，开展网络正面宣传工作12个月，开展网络文化活动5场次，便于开展属地网络安全各项工作，提高属地互联网信息化服务质量，引导属地网上正面宣传，牢牢把握住网上舆论导向，不仅要让老百姓在共享互联网发展成果上有更多获得感</w:t>
            </w:r>
            <w:r>
              <w:rPr>
                <w:rFonts w:hint="eastAsia" w:ascii="宋体" w:hAnsi="宋体"/>
                <w:sz w:val="16"/>
                <w:lang w:eastAsia="zh-CN"/>
              </w:rPr>
              <w:t>，也</w:t>
            </w:r>
            <w:r>
              <w:rPr>
                <w:rFonts w:ascii="宋体" w:hAnsi="宋体" w:eastAsia="宋体"/>
                <w:sz w:val="16"/>
              </w:rPr>
              <w:t>要为人民营造天朗气清的网络空间精神家园。</w:t>
            </w:r>
          </w:p>
        </w:tc>
      </w:tr>
      <w:tr w14:paraId="55356E7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399AD7">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A5146D">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A9EBA2">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091973">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0CCB5E">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A6E1B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B65409">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9F8239">
            <w:pPr>
              <w:jc w:val="center"/>
            </w:pPr>
            <w:r>
              <w:rPr>
                <w:rFonts w:ascii="宋体" w:hAnsi="宋体" w:eastAsia="宋体"/>
                <w:sz w:val="16"/>
              </w:rPr>
              <w:t>得分</w:t>
            </w:r>
          </w:p>
        </w:tc>
      </w:tr>
      <w:tr w14:paraId="6285341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AA179E">
            <w:pPr>
              <w:jc w:val="center"/>
            </w:pPr>
            <w:r>
              <w:rPr>
                <w:rFonts w:ascii="宋体" w:hAnsi="宋体" w:eastAsia="宋体"/>
                <w:sz w:val="16"/>
              </w:rPr>
              <w:t>管理效率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311728">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04E131">
            <w:pPr>
              <w:jc w:val="center"/>
            </w:pPr>
            <w:r>
              <w:rPr>
                <w:rFonts w:ascii="宋体" w:hAnsi="宋体" w:eastAsia="宋体"/>
                <w:sz w:val="16"/>
              </w:rPr>
              <w:t>属地网络安全宣传工作覆盖率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88E96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50F917">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75492E">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CDB79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7C7488">
            <w:pPr>
              <w:jc w:val="center"/>
            </w:pPr>
            <w:r>
              <w:rPr>
                <w:rFonts w:ascii="宋体" w:hAnsi="宋体" w:eastAsia="宋体"/>
                <w:sz w:val="16"/>
              </w:rPr>
              <w:t>18</w:t>
            </w:r>
          </w:p>
        </w:tc>
      </w:tr>
      <w:tr w14:paraId="3359A34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B998A">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D4FBCA">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BB2773">
            <w:pPr>
              <w:jc w:val="center"/>
            </w:pPr>
            <w:r>
              <w:rPr>
                <w:rFonts w:ascii="宋体" w:hAnsi="宋体" w:eastAsia="宋体"/>
                <w:sz w:val="16"/>
              </w:rPr>
              <w:t>开展网络安全宣传次数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58F881">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3383BE">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240E68">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0C1FA8">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8B6ED5">
            <w:pPr>
              <w:jc w:val="center"/>
            </w:pPr>
            <w:r>
              <w:rPr>
                <w:rFonts w:ascii="宋体" w:hAnsi="宋体" w:eastAsia="宋体"/>
                <w:sz w:val="16"/>
              </w:rPr>
              <w:t>18</w:t>
            </w:r>
          </w:p>
        </w:tc>
      </w:tr>
      <w:tr w14:paraId="249BC9A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C6E2F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93584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78EB42">
            <w:pPr>
              <w:jc w:val="center"/>
            </w:pPr>
            <w:r>
              <w:rPr>
                <w:rFonts w:ascii="宋体" w:hAnsi="宋体" w:eastAsia="宋体"/>
                <w:sz w:val="16"/>
              </w:rPr>
              <w:t>开展网络正面宣传工作期限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C1EBA0">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AF8020">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F59D04">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DE9AF4">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D79815">
            <w:pPr>
              <w:jc w:val="center"/>
            </w:pPr>
            <w:r>
              <w:rPr>
                <w:rFonts w:ascii="宋体" w:hAnsi="宋体" w:eastAsia="宋体"/>
                <w:sz w:val="16"/>
              </w:rPr>
              <w:t>18</w:t>
            </w:r>
          </w:p>
        </w:tc>
      </w:tr>
      <w:tr w14:paraId="10679F6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4E625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191A4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0A876D">
            <w:pPr>
              <w:jc w:val="center"/>
            </w:pPr>
            <w:r>
              <w:rPr>
                <w:rFonts w:ascii="宋体" w:hAnsi="宋体" w:eastAsia="宋体"/>
                <w:sz w:val="16"/>
              </w:rPr>
              <w:t>开展网络文化活动场次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646F80">
            <w:pPr>
              <w:jc w:val="center"/>
            </w:pPr>
            <w:r>
              <w:rPr>
                <w:rFonts w:ascii="宋体" w:hAnsi="宋体" w:eastAsia="宋体"/>
                <w:sz w:val="16"/>
              </w:rPr>
              <w:t>&gt;=5场次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823E7F">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78EFAB">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2BE914">
            <w:pPr>
              <w:jc w:val="center"/>
            </w:pPr>
            <w:r>
              <w:rPr>
                <w:rFonts w:ascii="宋体" w:hAnsi="宋体" w:eastAsia="宋体"/>
                <w:sz w:val="16"/>
              </w:rPr>
              <w:t>5场次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203586">
            <w:pPr>
              <w:jc w:val="center"/>
            </w:pPr>
            <w:r>
              <w:rPr>
                <w:rFonts w:ascii="宋体" w:hAnsi="宋体" w:eastAsia="宋体"/>
                <w:sz w:val="16"/>
              </w:rPr>
              <w:t>18</w:t>
            </w:r>
          </w:p>
        </w:tc>
      </w:tr>
      <w:tr w14:paraId="2552C7B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ABEFC9">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FED995">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C87D9E">
            <w:pPr>
              <w:jc w:val="center"/>
            </w:pPr>
            <w:r>
              <w:rPr>
                <w:rFonts w:ascii="宋体" w:hAnsi="宋体" w:eastAsia="宋体"/>
                <w:sz w:val="16"/>
              </w:rPr>
              <w:t>保障网上正能量信息充沛率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E6FB9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95ECA1">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F78C9C">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1C9A1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5ABD25">
            <w:pPr>
              <w:jc w:val="center"/>
            </w:pPr>
            <w:r>
              <w:rPr>
                <w:rFonts w:ascii="宋体" w:hAnsi="宋体" w:eastAsia="宋体"/>
                <w:sz w:val="16"/>
              </w:rPr>
              <w:t>18</w:t>
            </w:r>
          </w:p>
        </w:tc>
      </w:tr>
    </w:tbl>
    <w:p w14:paraId="04092FE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1BAC87FB">
        <w:tblPrEx>
          <w:tblCellMar>
            <w:top w:w="0" w:type="dxa"/>
            <w:left w:w="108" w:type="dxa"/>
            <w:bottom w:w="0" w:type="dxa"/>
            <w:right w:w="108" w:type="dxa"/>
          </w:tblCellMar>
        </w:tblPrEx>
        <w:tc>
          <w:tcPr>
            <w:tcW w:w="8848" w:type="dxa"/>
            <w:gridSpan w:val="14"/>
            <w:vAlign w:val="center"/>
          </w:tcPr>
          <w:p w14:paraId="2A4F262A">
            <w:pPr>
              <w:jc w:val="center"/>
            </w:pPr>
            <w:r>
              <w:rPr>
                <w:rFonts w:ascii="宋体" w:hAnsi="宋体" w:eastAsia="宋体"/>
                <w:sz w:val="24"/>
              </w:rPr>
              <w:t>项目支出绩效自评表</w:t>
            </w:r>
          </w:p>
        </w:tc>
      </w:tr>
      <w:tr w14:paraId="571506A5">
        <w:tblPrEx>
          <w:tblCellMar>
            <w:top w:w="0" w:type="dxa"/>
            <w:left w:w="108" w:type="dxa"/>
            <w:bottom w:w="0" w:type="dxa"/>
            <w:right w:w="108" w:type="dxa"/>
          </w:tblCellMar>
        </w:tblPrEx>
        <w:tc>
          <w:tcPr>
            <w:tcW w:w="8848" w:type="dxa"/>
            <w:gridSpan w:val="14"/>
            <w:vAlign w:val="center"/>
          </w:tcPr>
          <w:p w14:paraId="0C91B582">
            <w:pPr>
              <w:jc w:val="center"/>
            </w:pPr>
            <w:r>
              <w:rPr>
                <w:rFonts w:ascii="宋体" w:hAnsi="宋体" w:eastAsia="宋体"/>
                <w:sz w:val="24"/>
              </w:rPr>
              <w:t>(2024年度)</w:t>
            </w:r>
          </w:p>
        </w:tc>
      </w:tr>
      <w:tr w14:paraId="61BB6F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33E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B57CF3">
            <w:pPr>
              <w:jc w:val="center"/>
            </w:pPr>
            <w:r>
              <w:rPr>
                <w:rFonts w:ascii="宋体" w:hAnsi="宋体" w:eastAsia="宋体"/>
                <w:sz w:val="16"/>
              </w:rPr>
              <w:t>软件服务及链路费项目</w:t>
            </w:r>
          </w:p>
        </w:tc>
      </w:tr>
      <w:tr w14:paraId="6CA958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B9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809BC6">
            <w:pPr>
              <w:jc w:val="center"/>
            </w:pPr>
            <w:r>
              <w:rPr>
                <w:rFonts w:ascii="宋体" w:hAnsi="宋体" w:eastAsia="宋体"/>
                <w:sz w:val="16"/>
              </w:rPr>
              <w:t>中共阿图什市委员会网络安全和信息化委员会办公室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979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227CBC">
            <w:pPr>
              <w:jc w:val="center"/>
            </w:pPr>
            <w:r>
              <w:rPr>
                <w:rFonts w:ascii="宋体" w:hAnsi="宋体" w:eastAsia="宋体"/>
                <w:sz w:val="16"/>
              </w:rPr>
              <w:t>中共阿图什市委员会网络安全和信息化委员会办公室</w:t>
            </w:r>
          </w:p>
        </w:tc>
      </w:tr>
      <w:tr w14:paraId="342885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1AB1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E82E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5E90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B086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35ED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D400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464A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2CA0">
            <w:pPr>
              <w:jc w:val="center"/>
            </w:pPr>
            <w:r>
              <w:rPr>
                <w:rFonts w:ascii="宋体" w:hAnsi="宋体" w:eastAsia="宋体"/>
                <w:sz w:val="16"/>
              </w:rPr>
              <w:t>得分</w:t>
            </w:r>
          </w:p>
        </w:tc>
      </w:tr>
      <w:tr w14:paraId="30F29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059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193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013DD">
            <w:pPr>
              <w:jc w:val="center"/>
            </w:pPr>
            <w:r>
              <w:rPr>
                <w:rFonts w:ascii="宋体" w:hAnsi="宋体" w:eastAsia="宋体"/>
                <w:sz w:val="16"/>
              </w:rPr>
              <w:t>110.00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DB053">
            <w:pPr>
              <w:jc w:val="center"/>
            </w:pPr>
            <w:r>
              <w:rPr>
                <w:rFonts w:ascii="宋体" w:hAnsi="宋体" w:eastAsia="宋体"/>
                <w:sz w:val="16"/>
              </w:rPr>
              <w:t>110.00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19FE5">
            <w:pPr>
              <w:jc w:val="center"/>
            </w:pPr>
            <w:r>
              <w:rPr>
                <w:rFonts w:ascii="宋体" w:hAnsi="宋体" w:eastAsia="宋体"/>
                <w:sz w:val="16"/>
              </w:rPr>
              <w:t>43.05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B3D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53221">
            <w:pPr>
              <w:jc w:val="center"/>
            </w:pPr>
            <w:r>
              <w:rPr>
                <w:rFonts w:ascii="宋体" w:hAnsi="宋体" w:eastAsia="宋体"/>
                <w:sz w:val="16"/>
              </w:rPr>
              <w:t>39.1%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FAC8">
            <w:pPr>
              <w:jc w:val="center"/>
            </w:pPr>
            <w:r>
              <w:rPr>
                <w:rFonts w:ascii="宋体" w:hAnsi="宋体" w:eastAsia="宋体"/>
                <w:sz w:val="16"/>
              </w:rPr>
              <w:t>0.00分</w:t>
            </w:r>
          </w:p>
        </w:tc>
      </w:tr>
      <w:tr w14:paraId="45561B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8C3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C626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3D6A2">
            <w:pPr>
              <w:jc w:val="center"/>
            </w:pPr>
            <w:r>
              <w:rPr>
                <w:rFonts w:ascii="宋体" w:hAnsi="宋体" w:eastAsia="宋体"/>
                <w:sz w:val="16"/>
              </w:rPr>
              <w:t>110.00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53C6F">
            <w:pPr>
              <w:jc w:val="center"/>
            </w:pPr>
            <w:r>
              <w:rPr>
                <w:rFonts w:ascii="宋体" w:hAnsi="宋体" w:eastAsia="宋体"/>
                <w:sz w:val="16"/>
              </w:rPr>
              <w:t>110.00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DCE4A">
            <w:pPr>
              <w:jc w:val="center"/>
            </w:pPr>
            <w:r>
              <w:rPr>
                <w:rFonts w:ascii="宋体" w:hAnsi="宋体" w:eastAsia="宋体"/>
                <w:sz w:val="16"/>
              </w:rPr>
              <w:t>43.05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AF6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7F6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C8A0">
            <w:pPr>
              <w:jc w:val="center"/>
            </w:pPr>
            <w:r>
              <w:rPr>
                <w:rFonts w:ascii="宋体" w:hAnsi="宋体" w:eastAsia="宋体"/>
                <w:sz w:val="16"/>
              </w:rPr>
              <w:t>—</w:t>
            </w:r>
          </w:p>
        </w:tc>
      </w:tr>
      <w:tr w14:paraId="3D46D0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754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44A3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C5F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4CA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28F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E4E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46F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8D22">
            <w:pPr>
              <w:jc w:val="center"/>
            </w:pPr>
            <w:r>
              <w:rPr>
                <w:rFonts w:ascii="宋体" w:hAnsi="宋体" w:eastAsia="宋体"/>
                <w:sz w:val="16"/>
              </w:rPr>
              <w:t>—</w:t>
            </w:r>
          </w:p>
        </w:tc>
      </w:tr>
      <w:tr w14:paraId="61FAA7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9CF6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C6597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0081DA">
            <w:pPr>
              <w:jc w:val="center"/>
            </w:pPr>
            <w:r>
              <w:rPr>
                <w:rFonts w:ascii="宋体" w:hAnsi="宋体" w:eastAsia="宋体"/>
                <w:sz w:val="16"/>
              </w:rPr>
              <w:t>实际完成情况</w:t>
            </w:r>
          </w:p>
        </w:tc>
      </w:tr>
      <w:tr w14:paraId="25879F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28C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E97641">
            <w:pPr>
              <w:jc w:val="both"/>
            </w:pPr>
            <w:r>
              <w:rPr>
                <w:rFonts w:ascii="宋体" w:hAnsi="宋体" w:eastAsia="宋体"/>
                <w:sz w:val="16"/>
              </w:rPr>
              <w:t>根据《中华人民共和国网络安全法》《关于印发2023年全州网信工作要点&gt;及2023年全州网信工作要点分解方案&gt;的通知》（克党网信字</w:t>
            </w:r>
            <w:r>
              <w:rPr>
                <w:rFonts w:hint="eastAsia" w:ascii="宋体" w:hAnsi="宋体"/>
                <w:sz w:val="16"/>
                <w:lang w:eastAsia="zh-CN"/>
              </w:rPr>
              <w:t>〔</w:t>
            </w:r>
            <w:r>
              <w:rPr>
                <w:rFonts w:ascii="宋体" w:hAnsi="宋体" w:eastAsia="宋体"/>
                <w:sz w:val="16"/>
              </w:rPr>
              <w:t>2023</w:t>
            </w:r>
            <w:r>
              <w:rPr>
                <w:rFonts w:hint="eastAsia" w:ascii="宋体" w:hAnsi="宋体"/>
                <w:sz w:val="16"/>
                <w:lang w:eastAsia="zh-CN"/>
              </w:rPr>
              <w:t>〕</w:t>
            </w:r>
            <w:r>
              <w:rPr>
                <w:rFonts w:ascii="宋体" w:hAnsi="宋体" w:eastAsia="宋体"/>
                <w:sz w:val="16"/>
              </w:rPr>
              <w:t>3号）、《阿图什市委网信办2023年第十次办务会会议纪要》，本项目安排资金110万元，用于采购软件6项、网络服务7项；通过项目的实施，达到互联网畅通，属地网络安全，确保网信业务工作正常运转的效果。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4574F0">
            <w:pPr>
              <w:jc w:val="both"/>
            </w:pPr>
            <w:r>
              <w:rPr>
                <w:rFonts w:ascii="宋体" w:hAnsi="宋体" w:eastAsia="宋体"/>
                <w:sz w:val="16"/>
              </w:rPr>
              <w:t>本项目共计支出43.05万元，用于采购软件6项、网络服务7项；通过实施本项目达到互联网畅通，属地网络安全，确保网信业务工作正常运转的效果。</w:t>
            </w:r>
          </w:p>
        </w:tc>
      </w:tr>
      <w:tr w14:paraId="68BEE4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AEA5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5B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02B2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C5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2DDB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A6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5381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232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994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8CFF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7CFE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FBC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688FB">
            <w:pPr>
              <w:jc w:val="center"/>
            </w:pPr>
            <w:r>
              <w:rPr>
                <w:rFonts w:ascii="宋体" w:hAnsi="宋体" w:eastAsia="宋体"/>
                <w:sz w:val="16"/>
              </w:rPr>
              <w:t>偏差原因分析及改进措施</w:t>
            </w:r>
          </w:p>
        </w:tc>
      </w:tr>
      <w:tr w14:paraId="1BAF07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C284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3F87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7B8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CE516">
            <w:pPr>
              <w:jc w:val="center"/>
            </w:pPr>
            <w:r>
              <w:rPr>
                <w:rFonts w:ascii="宋体" w:hAnsi="宋体" w:eastAsia="宋体"/>
                <w:sz w:val="16"/>
              </w:rPr>
              <w:t>采购软件数量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AD3B">
            <w:pPr>
              <w:jc w:val="center"/>
            </w:pPr>
            <w:r>
              <w:rPr>
                <w:rFonts w:ascii="宋体" w:hAnsi="宋体" w:eastAsia="宋体"/>
                <w:sz w:val="16"/>
              </w:rPr>
              <w:t>&gt;=6项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D4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7E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31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2A2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6AA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9E47">
            <w:pPr>
              <w:jc w:val="center"/>
            </w:pPr>
            <w:r>
              <w:rPr>
                <w:rFonts w:ascii="宋体" w:hAnsi="宋体" w:eastAsia="宋体"/>
                <w:sz w:val="16"/>
              </w:rPr>
              <w:t>=6项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5E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2A15F">
            <w:pPr>
              <w:jc w:val="center"/>
            </w:pPr>
          </w:p>
        </w:tc>
      </w:tr>
      <w:tr w14:paraId="77A7FE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A33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1A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BAF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B2F21">
            <w:pPr>
              <w:jc w:val="center"/>
            </w:pPr>
            <w:r>
              <w:rPr>
                <w:rFonts w:ascii="宋体" w:hAnsi="宋体" w:eastAsia="宋体"/>
                <w:sz w:val="16"/>
              </w:rPr>
              <w:t>网络服务数量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72D0">
            <w:pPr>
              <w:jc w:val="center"/>
            </w:pPr>
            <w:r>
              <w:rPr>
                <w:rFonts w:ascii="宋体" w:hAnsi="宋体" w:eastAsia="宋体"/>
                <w:sz w:val="16"/>
              </w:rPr>
              <w:t>&gt;=7项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AF9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20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927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B3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002C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8EF25">
            <w:pPr>
              <w:jc w:val="center"/>
            </w:pPr>
            <w:r>
              <w:rPr>
                <w:rFonts w:ascii="宋体" w:hAnsi="宋体" w:eastAsia="宋体"/>
                <w:sz w:val="16"/>
              </w:rPr>
              <w:t>=7项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BA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D60CC">
            <w:pPr>
              <w:jc w:val="center"/>
            </w:pPr>
          </w:p>
        </w:tc>
      </w:tr>
      <w:tr w14:paraId="5C948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CF4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695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9AB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B618D">
            <w:pPr>
              <w:jc w:val="center"/>
            </w:pPr>
            <w:r>
              <w:rPr>
                <w:rFonts w:ascii="宋体" w:hAnsi="宋体" w:eastAsia="宋体"/>
                <w:sz w:val="16"/>
              </w:rPr>
              <w:t>采购软件合格率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4DF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68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806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15D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E0CD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3DBB">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970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B7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61C53">
            <w:pPr>
              <w:jc w:val="center"/>
            </w:pPr>
          </w:p>
        </w:tc>
      </w:tr>
      <w:tr w14:paraId="7EFF89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F1E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63E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04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8674">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AB612">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20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B5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1BF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0C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13A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45C2">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7D0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7B716">
            <w:pPr>
              <w:jc w:val="center"/>
            </w:pPr>
          </w:p>
        </w:tc>
      </w:tr>
      <w:tr w14:paraId="295BAB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756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5081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A926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DDAA">
            <w:pPr>
              <w:jc w:val="center"/>
            </w:pPr>
            <w:r>
              <w:rPr>
                <w:rFonts w:ascii="宋体" w:hAnsi="宋体" w:eastAsia="宋体"/>
                <w:sz w:val="16"/>
              </w:rPr>
              <w:t>采购软件成本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1E4CF">
            <w:pPr>
              <w:jc w:val="center"/>
            </w:pPr>
            <w:r>
              <w:rPr>
                <w:rFonts w:ascii="宋体" w:hAnsi="宋体" w:eastAsia="宋体"/>
                <w:sz w:val="16"/>
              </w:rPr>
              <w:t>&lt;=98万元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36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39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BB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9D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FDF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64949">
            <w:pPr>
              <w:jc w:val="center"/>
            </w:pPr>
            <w:r>
              <w:rPr>
                <w:rFonts w:ascii="宋体" w:hAnsi="宋体" w:eastAsia="宋体"/>
                <w:sz w:val="16"/>
              </w:rPr>
              <w:t>=37.65万元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BE3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C38BC">
            <w:pPr>
              <w:jc w:val="center"/>
            </w:pPr>
            <w:r>
              <w:rPr>
                <w:rFonts w:ascii="宋体" w:hAnsi="宋体" w:eastAsia="宋体"/>
                <w:sz w:val="16"/>
              </w:rPr>
              <w:t>原因：第三方机构未及时提供支出资料，未能按时支出；措施：及时催收支出资料，加快项目支出进度，减少偏差。</w:t>
            </w:r>
          </w:p>
        </w:tc>
      </w:tr>
      <w:tr w14:paraId="5256AD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E12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F8F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E63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89A0">
            <w:pPr>
              <w:jc w:val="center"/>
            </w:pPr>
            <w:r>
              <w:rPr>
                <w:rFonts w:ascii="宋体" w:hAnsi="宋体" w:eastAsia="宋体"/>
                <w:sz w:val="16"/>
              </w:rPr>
              <w:t>网络服务成本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E71D">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D7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1E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1F8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0D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C28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993D">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FAC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50B9D">
            <w:pPr>
              <w:jc w:val="center"/>
            </w:pPr>
            <w:r>
              <w:rPr>
                <w:rFonts w:ascii="宋体" w:hAnsi="宋体" w:eastAsia="宋体"/>
                <w:sz w:val="16"/>
              </w:rPr>
              <w:t>原因：第三方机构未及时提供支出资料，未能按时支出；措施：及时催收支出资料，加快项目支出进度，减少偏差。</w:t>
            </w:r>
          </w:p>
        </w:tc>
      </w:tr>
      <w:tr w14:paraId="3099D0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BD0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AA1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54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82DD0">
            <w:pPr>
              <w:jc w:val="center"/>
            </w:pPr>
            <w:r>
              <w:rPr>
                <w:rFonts w:ascii="宋体" w:hAnsi="宋体" w:eastAsia="宋体"/>
                <w:sz w:val="16"/>
              </w:rPr>
              <w:t>确保网信业务工作正常运转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8BB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CFA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5D2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01F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182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7DAEB">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D817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EDFB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7AD42">
            <w:pPr>
              <w:jc w:val="center"/>
            </w:pPr>
          </w:p>
        </w:tc>
      </w:tr>
      <w:tr w14:paraId="5C663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25A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7B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2FA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1A82">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22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01D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F1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772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DE7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5618B">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9E7F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7A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418DA">
            <w:pPr>
              <w:jc w:val="center"/>
            </w:pPr>
          </w:p>
        </w:tc>
      </w:tr>
      <w:tr w14:paraId="0B4B814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AA9E4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36D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A5E38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1C76">
            <w:pPr>
              <w:jc w:val="center"/>
            </w:pPr>
            <w:r>
              <w:rPr>
                <w:rFonts w:ascii="宋体" w:hAnsi="宋体" w:eastAsia="宋体"/>
                <w:sz w:val="16"/>
              </w:rPr>
              <w:t>70分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26C08C7"/>
        </w:tc>
      </w:tr>
    </w:tbl>
    <w:p w14:paraId="6E3374DC">
      <w:r>
        <w:br w:type="page"/>
      </w:r>
    </w:p>
    <w:tbl>
      <w:tblPr>
        <w:tblStyle w:val="9"/>
        <w:tblW w:w="0" w:type="auto"/>
        <w:tblInd w:w="0" w:type="dxa"/>
        <w:tblLayout w:type="autofit"/>
        <w:tblCellMar>
          <w:top w:w="0" w:type="dxa"/>
          <w:left w:w="108" w:type="dxa"/>
          <w:bottom w:w="0" w:type="dxa"/>
          <w:right w:w="108" w:type="dxa"/>
        </w:tblCellMar>
      </w:tblPr>
      <w:tblGrid>
        <w:gridCol w:w="631"/>
        <w:gridCol w:w="631"/>
        <w:gridCol w:w="631"/>
        <w:gridCol w:w="631"/>
        <w:gridCol w:w="856"/>
        <w:gridCol w:w="631"/>
        <w:gridCol w:w="631"/>
        <w:gridCol w:w="631"/>
        <w:gridCol w:w="631"/>
        <w:gridCol w:w="631"/>
        <w:gridCol w:w="632"/>
        <w:gridCol w:w="632"/>
        <w:gridCol w:w="629"/>
        <w:gridCol w:w="632"/>
      </w:tblGrid>
      <w:tr w14:paraId="5303DC30">
        <w:tc>
          <w:tcPr>
            <w:tcW w:w="8848" w:type="dxa"/>
            <w:gridSpan w:val="14"/>
            <w:vAlign w:val="center"/>
          </w:tcPr>
          <w:p w14:paraId="2DEA623F">
            <w:pPr>
              <w:jc w:val="center"/>
            </w:pPr>
            <w:r>
              <w:rPr>
                <w:rFonts w:ascii="宋体" w:hAnsi="宋体" w:eastAsia="宋体"/>
                <w:sz w:val="24"/>
              </w:rPr>
              <w:t>项目支出绩效自评表</w:t>
            </w:r>
          </w:p>
        </w:tc>
      </w:tr>
      <w:tr w14:paraId="2C506F02">
        <w:tblPrEx>
          <w:tblCellMar>
            <w:top w:w="0" w:type="dxa"/>
            <w:left w:w="108" w:type="dxa"/>
            <w:bottom w:w="0" w:type="dxa"/>
            <w:right w:w="108" w:type="dxa"/>
          </w:tblCellMar>
        </w:tblPrEx>
        <w:tc>
          <w:tcPr>
            <w:tcW w:w="8848" w:type="dxa"/>
            <w:gridSpan w:val="14"/>
            <w:vAlign w:val="center"/>
          </w:tcPr>
          <w:p w14:paraId="7DE445E2">
            <w:pPr>
              <w:jc w:val="center"/>
            </w:pPr>
            <w:r>
              <w:rPr>
                <w:rFonts w:ascii="宋体" w:hAnsi="宋体" w:eastAsia="宋体"/>
                <w:sz w:val="24"/>
              </w:rPr>
              <w:t>(2024年度)</w:t>
            </w:r>
          </w:p>
        </w:tc>
      </w:tr>
      <w:tr w14:paraId="478E01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59A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143744">
            <w:pPr>
              <w:jc w:val="center"/>
            </w:pPr>
            <w:r>
              <w:rPr>
                <w:rFonts w:ascii="宋体" w:hAnsi="宋体" w:eastAsia="宋体"/>
                <w:sz w:val="16"/>
              </w:rPr>
              <w:t>阿图什市互联网信息办公室项目</w:t>
            </w:r>
          </w:p>
        </w:tc>
      </w:tr>
      <w:tr w14:paraId="02280D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FA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C836BC">
            <w:pPr>
              <w:jc w:val="center"/>
            </w:pPr>
            <w:r>
              <w:rPr>
                <w:rFonts w:ascii="宋体" w:hAnsi="宋体" w:eastAsia="宋体"/>
                <w:sz w:val="16"/>
              </w:rPr>
              <w:t>中共阿图什市委员会网络安全和信息化委员会办公室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512F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F4BA41">
            <w:pPr>
              <w:jc w:val="center"/>
            </w:pPr>
            <w:r>
              <w:rPr>
                <w:rFonts w:ascii="宋体" w:hAnsi="宋体" w:eastAsia="宋体"/>
                <w:sz w:val="16"/>
              </w:rPr>
              <w:t>中共阿图什市委员会网络安全和信息化委员会办公室</w:t>
            </w:r>
          </w:p>
        </w:tc>
      </w:tr>
      <w:tr w14:paraId="52A568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33318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DBCC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57B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3F2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517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1491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2BF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19DC">
            <w:pPr>
              <w:jc w:val="center"/>
            </w:pPr>
            <w:r>
              <w:rPr>
                <w:rFonts w:ascii="宋体" w:hAnsi="宋体" w:eastAsia="宋体"/>
                <w:sz w:val="16"/>
              </w:rPr>
              <w:t>得分</w:t>
            </w:r>
          </w:p>
        </w:tc>
      </w:tr>
      <w:tr w14:paraId="45E6E0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185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91B8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BD8A4">
            <w:pPr>
              <w:jc w:val="center"/>
            </w:pPr>
            <w:r>
              <w:rPr>
                <w:rFonts w:ascii="宋体" w:hAnsi="宋体" w:eastAsia="宋体"/>
                <w:sz w:val="16"/>
              </w:rPr>
              <w:t>180.38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BBBBC">
            <w:pPr>
              <w:jc w:val="center"/>
            </w:pPr>
            <w:r>
              <w:rPr>
                <w:rFonts w:ascii="宋体" w:hAnsi="宋体" w:eastAsia="宋体"/>
                <w:sz w:val="16"/>
              </w:rPr>
              <w:t>180.38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EDD2F">
            <w:pPr>
              <w:jc w:val="center"/>
            </w:pPr>
            <w:r>
              <w:rPr>
                <w:rFonts w:ascii="宋体" w:hAnsi="宋体" w:eastAsia="宋体"/>
                <w:sz w:val="16"/>
              </w:rPr>
              <w:t>38.82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CC6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6CA05">
            <w:pPr>
              <w:jc w:val="center"/>
            </w:pPr>
            <w:r>
              <w:rPr>
                <w:rFonts w:ascii="宋体" w:hAnsi="宋体" w:eastAsia="宋体"/>
                <w:sz w:val="16"/>
              </w:rPr>
              <w:t>21.5%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022B">
            <w:pPr>
              <w:jc w:val="center"/>
            </w:pPr>
            <w:r>
              <w:rPr>
                <w:rFonts w:ascii="宋体" w:hAnsi="宋体" w:eastAsia="宋体"/>
                <w:sz w:val="16"/>
              </w:rPr>
              <w:t>0.00分</w:t>
            </w:r>
          </w:p>
        </w:tc>
      </w:tr>
      <w:tr w14:paraId="05C4B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89B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9F3E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BD3D4">
            <w:pPr>
              <w:jc w:val="center"/>
            </w:pPr>
            <w:r>
              <w:rPr>
                <w:rFonts w:ascii="宋体" w:hAnsi="宋体" w:eastAsia="宋体"/>
                <w:sz w:val="16"/>
              </w:rPr>
              <w:t>180.38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F1240">
            <w:pPr>
              <w:jc w:val="center"/>
            </w:pPr>
            <w:r>
              <w:rPr>
                <w:rFonts w:ascii="宋体" w:hAnsi="宋体" w:eastAsia="宋体"/>
                <w:sz w:val="16"/>
              </w:rPr>
              <w:t>180.38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3BB7A">
            <w:pPr>
              <w:jc w:val="center"/>
            </w:pPr>
            <w:r>
              <w:rPr>
                <w:rFonts w:ascii="宋体" w:hAnsi="宋体" w:eastAsia="宋体"/>
                <w:sz w:val="16"/>
              </w:rPr>
              <w:t>38.82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4E7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D56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CECD">
            <w:pPr>
              <w:jc w:val="center"/>
            </w:pPr>
            <w:r>
              <w:rPr>
                <w:rFonts w:ascii="宋体" w:hAnsi="宋体" w:eastAsia="宋体"/>
                <w:sz w:val="16"/>
              </w:rPr>
              <w:t>—</w:t>
            </w:r>
          </w:p>
        </w:tc>
      </w:tr>
      <w:tr w14:paraId="4A7FA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43A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87C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65E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98F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C6A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842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45C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DEEA4">
            <w:pPr>
              <w:jc w:val="center"/>
            </w:pPr>
            <w:r>
              <w:rPr>
                <w:rFonts w:ascii="宋体" w:hAnsi="宋体" w:eastAsia="宋体"/>
                <w:sz w:val="16"/>
              </w:rPr>
              <w:t>—</w:t>
            </w:r>
          </w:p>
        </w:tc>
      </w:tr>
      <w:tr w14:paraId="20D1C2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C2AF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0CCE5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FE2E7E">
            <w:pPr>
              <w:jc w:val="center"/>
            </w:pPr>
            <w:r>
              <w:rPr>
                <w:rFonts w:ascii="宋体" w:hAnsi="宋体" w:eastAsia="宋体"/>
                <w:sz w:val="16"/>
              </w:rPr>
              <w:t>实际完成情况</w:t>
            </w:r>
          </w:p>
        </w:tc>
      </w:tr>
      <w:tr w14:paraId="1B407D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DE3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66DBA1">
            <w:pPr>
              <w:jc w:val="both"/>
            </w:pPr>
            <w:r>
              <w:rPr>
                <w:rFonts w:ascii="宋体" w:hAnsi="宋体" w:eastAsia="宋体"/>
                <w:sz w:val="16"/>
              </w:rPr>
              <w:t>根据《中华人民共和国网络安全法》《关于印发2023年全州网信工作要点&gt;及2023年全州网信工作要点分解方案&gt;的通知》（克党网信字</w:t>
            </w:r>
            <w:r>
              <w:rPr>
                <w:rFonts w:hint="eastAsia" w:ascii="宋体" w:hAnsi="宋体"/>
                <w:sz w:val="16"/>
                <w:lang w:eastAsia="zh-CN"/>
              </w:rPr>
              <w:t>〔</w:t>
            </w:r>
            <w:r>
              <w:rPr>
                <w:rFonts w:ascii="宋体" w:hAnsi="宋体" w:eastAsia="宋体"/>
                <w:sz w:val="16"/>
              </w:rPr>
              <w:t>2023</w:t>
            </w:r>
            <w:r>
              <w:rPr>
                <w:rFonts w:hint="eastAsia" w:ascii="宋体" w:hAnsi="宋体"/>
                <w:sz w:val="16"/>
                <w:lang w:eastAsia="zh-CN"/>
              </w:rPr>
              <w:t>〕</w:t>
            </w:r>
            <w:r>
              <w:rPr>
                <w:rFonts w:ascii="宋体" w:hAnsi="宋体" w:eastAsia="宋体"/>
                <w:sz w:val="16"/>
              </w:rPr>
              <w:t xml:space="preserve">3号），本项目安排资金180.38万元，计划开展业务专项3项、外出学习培训人数30人次、购买安可计算机10台、伙食保障12个月、水电保障12个月；通过项目的实施，达到各项业务按照计划执行，有效保障属地互联网信息工作正常开展。 </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F52D91">
            <w:pPr>
              <w:jc w:val="both"/>
            </w:pPr>
            <w:r>
              <w:rPr>
                <w:rFonts w:ascii="宋体" w:hAnsi="宋体" w:eastAsia="宋体"/>
                <w:sz w:val="16"/>
              </w:rPr>
              <w:t xml:space="preserve">本项目共计支出38.82万元，用于开展业务专项3项、外出学习培训人数13人次、购买安可计算机4台、水电保障12个月；通过实施本项目，达到各项业务按照计划执行，有效保障属地互联网信息工作正常开展。 </w:t>
            </w:r>
            <w:r>
              <w:rPr>
                <w:rFonts w:ascii="宋体" w:hAnsi="宋体" w:eastAsia="宋体"/>
                <w:sz w:val="16"/>
              </w:rPr>
              <w:br w:type="textWrapping"/>
            </w:r>
          </w:p>
        </w:tc>
      </w:tr>
      <w:tr w14:paraId="7790CD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BD5C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DF7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89A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42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CDE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29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DDA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E7E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2EE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86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F8C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25E8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A72FD">
            <w:pPr>
              <w:jc w:val="center"/>
            </w:pPr>
            <w:r>
              <w:rPr>
                <w:rFonts w:ascii="宋体" w:hAnsi="宋体" w:eastAsia="宋体"/>
                <w:sz w:val="16"/>
              </w:rPr>
              <w:t>偏差原因分析及改进措施</w:t>
            </w:r>
          </w:p>
        </w:tc>
      </w:tr>
      <w:tr w14:paraId="2203A3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8AE6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63656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D140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A7D97">
            <w:pPr>
              <w:jc w:val="center"/>
            </w:pPr>
            <w:r>
              <w:rPr>
                <w:rFonts w:ascii="宋体" w:hAnsi="宋体" w:eastAsia="宋体"/>
                <w:sz w:val="16"/>
              </w:rPr>
              <w:t>开展业务专项次数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A7A9">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6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FE6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F4D0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4FA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AD0D">
            <w:pPr>
              <w:jc w:val="center"/>
            </w:pPr>
            <w:r>
              <w:rPr>
                <w:rFonts w:ascii="宋体" w:hAnsi="宋体" w:eastAsia="宋体"/>
                <w:sz w:val="16"/>
              </w:rPr>
              <w:t>工作资料,正式材料,说明材料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45CE5">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A4DD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8A191">
            <w:pPr>
              <w:jc w:val="center"/>
            </w:pPr>
          </w:p>
        </w:tc>
      </w:tr>
      <w:tr w14:paraId="254186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B75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AF0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148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190B">
            <w:pPr>
              <w:jc w:val="center"/>
            </w:pPr>
            <w:r>
              <w:rPr>
                <w:rFonts w:ascii="宋体" w:hAnsi="宋体" w:eastAsia="宋体"/>
                <w:sz w:val="16"/>
              </w:rPr>
              <w:t>购买安可计算数量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90FF">
            <w:pPr>
              <w:jc w:val="center"/>
            </w:pPr>
            <w:r>
              <w:rPr>
                <w:rFonts w:ascii="宋体" w:hAnsi="宋体" w:eastAsia="宋体"/>
                <w:sz w:val="16"/>
              </w:rPr>
              <w:t>&gt;=10台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C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5D5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3A9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1AF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19B47">
            <w:pPr>
              <w:jc w:val="center"/>
            </w:pPr>
            <w:r>
              <w:rPr>
                <w:rFonts w:ascii="宋体" w:hAnsi="宋体" w:eastAsia="宋体"/>
                <w:sz w:val="16"/>
              </w:rPr>
              <w:t>工作资料,正式材料,说明材料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0C8D">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D309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C73D3">
            <w:pPr>
              <w:jc w:val="center"/>
            </w:pPr>
            <w:r>
              <w:rPr>
                <w:rFonts w:ascii="宋体" w:hAnsi="宋体" w:eastAsia="宋体"/>
                <w:sz w:val="16"/>
              </w:rPr>
              <w:t>原因：按照单位实际情况进行购买，导致指标存在偏差；措施：今后做好年初计划，按照计划实施，减少偏差。</w:t>
            </w:r>
          </w:p>
        </w:tc>
      </w:tr>
      <w:tr w14:paraId="25BE9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72A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E1F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E2C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ACBA8">
            <w:pPr>
              <w:jc w:val="center"/>
            </w:pPr>
            <w:r>
              <w:rPr>
                <w:rFonts w:ascii="宋体" w:hAnsi="宋体" w:eastAsia="宋体"/>
                <w:sz w:val="16"/>
              </w:rPr>
              <w:t>外出学习培训人数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9806">
            <w:pPr>
              <w:jc w:val="center"/>
            </w:pPr>
            <w:r>
              <w:rPr>
                <w:rFonts w:ascii="宋体" w:hAnsi="宋体" w:eastAsia="宋体"/>
                <w:sz w:val="16"/>
              </w:rPr>
              <w:t>&gt;=30人次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DE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AC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A13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53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D2A0">
            <w:pPr>
              <w:jc w:val="center"/>
            </w:pPr>
            <w:r>
              <w:rPr>
                <w:rFonts w:ascii="宋体" w:hAnsi="宋体" w:eastAsia="宋体"/>
                <w:sz w:val="16"/>
              </w:rPr>
              <w:t>工作资料,正式材料,说明材料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F873">
            <w:pPr>
              <w:jc w:val="center"/>
            </w:pPr>
            <w:r>
              <w:rPr>
                <w:rFonts w:ascii="宋体" w:hAnsi="宋体" w:eastAsia="宋体"/>
                <w:sz w:val="16"/>
              </w:rPr>
              <w:t>=13人次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1EB6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B5995">
            <w:pPr>
              <w:jc w:val="center"/>
            </w:pPr>
            <w:r>
              <w:rPr>
                <w:rFonts w:ascii="宋体" w:hAnsi="宋体" w:eastAsia="宋体"/>
                <w:sz w:val="16"/>
              </w:rPr>
              <w:t>原因：按照单位实际情况进行外出培训，导致指标存在偏差；措施：今后做好年初计划，按照计划实施，减少偏差。</w:t>
            </w:r>
          </w:p>
        </w:tc>
      </w:tr>
      <w:tr w14:paraId="7E90B9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ED3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A0A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AEC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4A0F3">
            <w:pPr>
              <w:jc w:val="center"/>
            </w:pPr>
            <w:r>
              <w:rPr>
                <w:rFonts w:ascii="宋体" w:hAnsi="宋体" w:eastAsia="宋体"/>
                <w:sz w:val="16"/>
              </w:rPr>
              <w:t>保障单位运转期限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4F47">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768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31A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97A0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49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F616">
            <w:pPr>
              <w:jc w:val="center"/>
            </w:pPr>
            <w:r>
              <w:rPr>
                <w:rFonts w:ascii="宋体" w:hAnsi="宋体" w:eastAsia="宋体"/>
                <w:sz w:val="16"/>
              </w:rPr>
              <w:t>说明材料,正式材料,工作资料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6B83">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431D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E5590">
            <w:pPr>
              <w:jc w:val="center"/>
            </w:pPr>
          </w:p>
        </w:tc>
      </w:tr>
      <w:tr w14:paraId="437106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6C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CB0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D44E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7A7F">
            <w:pPr>
              <w:jc w:val="center"/>
            </w:pPr>
            <w:r>
              <w:rPr>
                <w:rFonts w:ascii="宋体" w:hAnsi="宋体" w:eastAsia="宋体"/>
                <w:sz w:val="16"/>
              </w:rPr>
              <w:t>业务工作质量达标率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1A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47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48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C9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A85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73B5">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15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BA0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63B4A">
            <w:pPr>
              <w:jc w:val="center"/>
            </w:pPr>
          </w:p>
        </w:tc>
      </w:tr>
      <w:tr w14:paraId="6A4C2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2DB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186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8FB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BD61">
            <w:pPr>
              <w:jc w:val="center"/>
            </w:pPr>
            <w:r>
              <w:rPr>
                <w:rFonts w:ascii="宋体" w:hAnsi="宋体" w:eastAsia="宋体"/>
                <w:sz w:val="16"/>
              </w:rPr>
              <w:t>购买电脑验收合格率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B8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4B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CC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C59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6DC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039F">
            <w:pPr>
              <w:jc w:val="center"/>
            </w:pPr>
            <w:r>
              <w:rPr>
                <w:rFonts w:ascii="宋体" w:hAnsi="宋体" w:eastAsia="宋体"/>
                <w:sz w:val="16"/>
              </w:rPr>
              <w:t>工作资料,说明材料,正式材料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B4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0B2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FD745">
            <w:pPr>
              <w:jc w:val="center"/>
            </w:pPr>
          </w:p>
        </w:tc>
      </w:tr>
      <w:tr w14:paraId="39150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DFF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B9C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DBC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250F">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DB418">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7E1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7B1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D04A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947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362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AE1A2">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A67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846BA">
            <w:pPr>
              <w:jc w:val="center"/>
            </w:pPr>
          </w:p>
        </w:tc>
      </w:tr>
      <w:tr w14:paraId="72540F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6A5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7B4F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C86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A1E9">
            <w:pPr>
              <w:jc w:val="center"/>
            </w:pPr>
            <w:r>
              <w:rPr>
                <w:rFonts w:ascii="宋体" w:hAnsi="宋体" w:eastAsia="宋体"/>
                <w:sz w:val="16"/>
              </w:rPr>
              <w:t>购买计算机成本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207B">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2E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895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2AE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BB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CCBF">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3D00">
            <w:pPr>
              <w:jc w:val="center"/>
            </w:pPr>
            <w:r>
              <w:rPr>
                <w:rFonts w:ascii="宋体" w:hAnsi="宋体" w:eastAsia="宋体"/>
                <w:sz w:val="16"/>
              </w:rPr>
              <w:t>=4.58万元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6170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08E05">
            <w:pPr>
              <w:jc w:val="center"/>
            </w:pPr>
            <w:r>
              <w:rPr>
                <w:rFonts w:ascii="宋体" w:hAnsi="宋体" w:eastAsia="宋体"/>
                <w:sz w:val="16"/>
              </w:rPr>
              <w:t>原因：第三方未及时提供支出资料，未能按时支出；措施：及时催收支出资料，加快项目支出进度，减少偏差。</w:t>
            </w:r>
          </w:p>
        </w:tc>
      </w:tr>
      <w:tr w14:paraId="564ADD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110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A2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4D4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99AE3">
            <w:pPr>
              <w:jc w:val="center"/>
            </w:pPr>
            <w:r>
              <w:rPr>
                <w:rFonts w:ascii="宋体" w:hAnsi="宋体" w:eastAsia="宋体"/>
                <w:sz w:val="16"/>
              </w:rPr>
              <w:t>保障单位运转成本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32121">
            <w:pPr>
              <w:jc w:val="center"/>
            </w:pPr>
            <w:r>
              <w:rPr>
                <w:rFonts w:ascii="宋体" w:hAnsi="宋体" w:eastAsia="宋体"/>
                <w:sz w:val="16"/>
              </w:rPr>
              <w:t>&lt;=43万元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3F9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1B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6F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5DF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7494">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30B5">
            <w:pPr>
              <w:jc w:val="center"/>
            </w:pPr>
            <w:r>
              <w:rPr>
                <w:rFonts w:ascii="宋体" w:hAnsi="宋体" w:eastAsia="宋体"/>
                <w:sz w:val="16"/>
              </w:rPr>
              <w:t>=7.09万元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9A9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C4F40">
            <w:pPr>
              <w:jc w:val="center"/>
            </w:pPr>
            <w:r>
              <w:rPr>
                <w:rFonts w:ascii="宋体" w:hAnsi="宋体" w:eastAsia="宋体"/>
                <w:sz w:val="16"/>
              </w:rPr>
              <w:t>原因：第三方未及时提供支出资料，未能按时支出；措施：及时催收支出资料，加快项目支出进度，减少偏差。</w:t>
            </w:r>
          </w:p>
        </w:tc>
      </w:tr>
      <w:tr w14:paraId="016C25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A49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9B7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7F5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FB17">
            <w:pPr>
              <w:jc w:val="center"/>
            </w:pPr>
            <w:r>
              <w:rPr>
                <w:rFonts w:ascii="宋体" w:hAnsi="宋体" w:eastAsia="宋体"/>
                <w:sz w:val="16"/>
              </w:rPr>
              <w:t>外出培训人员差旅费用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FF50">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A4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98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E3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172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090C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B838B">
            <w:pPr>
              <w:jc w:val="center"/>
            </w:pPr>
            <w:r>
              <w:rPr>
                <w:rFonts w:ascii="宋体" w:hAnsi="宋体" w:eastAsia="宋体"/>
                <w:sz w:val="16"/>
              </w:rPr>
              <w:t>=4.25万元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634F">
            <w:pPr>
              <w:jc w:val="center"/>
            </w:pPr>
            <w:r>
              <w:rPr>
                <w:rFonts w:ascii="宋体" w:hAnsi="宋体" w:eastAsia="宋体"/>
                <w:sz w:val="16"/>
              </w:rPr>
              <w:t>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82AF2">
            <w:pPr>
              <w:jc w:val="center"/>
            </w:pPr>
            <w:r>
              <w:rPr>
                <w:rFonts w:ascii="宋体" w:hAnsi="宋体" w:eastAsia="宋体"/>
                <w:sz w:val="16"/>
              </w:rPr>
              <w:t>原因：第三方未及时提供支出资料，未能按时支出；措施：及时催收支出资料，加快项目支出进度，减少偏差。</w:t>
            </w:r>
          </w:p>
        </w:tc>
      </w:tr>
      <w:tr w14:paraId="12735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677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1E2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778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56EEF">
            <w:pPr>
              <w:jc w:val="center"/>
            </w:pPr>
            <w:r>
              <w:rPr>
                <w:rFonts w:ascii="宋体" w:hAnsi="宋体" w:eastAsia="宋体"/>
                <w:sz w:val="16"/>
              </w:rPr>
              <w:t>业务专项工作费用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B6580">
            <w:pPr>
              <w:jc w:val="center"/>
            </w:pPr>
            <w:r>
              <w:rPr>
                <w:rFonts w:ascii="宋体" w:hAnsi="宋体" w:eastAsia="宋体"/>
                <w:sz w:val="16"/>
              </w:rPr>
              <w:t>&lt;=119.38万元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E4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91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ABB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29E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D08F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5E25">
            <w:pPr>
              <w:jc w:val="center"/>
            </w:pPr>
            <w:r>
              <w:rPr>
                <w:rFonts w:ascii="宋体" w:hAnsi="宋体" w:eastAsia="宋体"/>
                <w:sz w:val="16"/>
              </w:rPr>
              <w:t>=22.9万元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9350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FD5EF">
            <w:pPr>
              <w:jc w:val="center"/>
            </w:pPr>
            <w:r>
              <w:rPr>
                <w:rFonts w:ascii="宋体" w:hAnsi="宋体" w:eastAsia="宋体"/>
                <w:sz w:val="16"/>
              </w:rPr>
              <w:t>原因：第三方未及时提供支出资料，未能按时支出；措施：及时催收支出资料，加快项目支出进度，减少偏差。</w:t>
            </w:r>
          </w:p>
        </w:tc>
      </w:tr>
      <w:tr w14:paraId="04145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BC3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8B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EB2A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9FCD">
            <w:pPr>
              <w:jc w:val="center"/>
            </w:pPr>
            <w:r>
              <w:rPr>
                <w:rFonts w:ascii="宋体" w:hAnsi="宋体" w:eastAsia="宋体"/>
                <w:sz w:val="16"/>
              </w:rPr>
              <w:t>保障属地互联网信息工作正常开展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049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22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2F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16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760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EF53F">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8C96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3F29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B6993">
            <w:pPr>
              <w:jc w:val="center"/>
            </w:pPr>
          </w:p>
        </w:tc>
      </w:tr>
      <w:tr w14:paraId="4AFEC4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BD8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8B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A81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A949D">
            <w:pPr>
              <w:jc w:val="center"/>
            </w:pPr>
            <w:r>
              <w:rPr>
                <w:rFonts w:ascii="宋体" w:hAnsi="宋体" w:eastAsia="宋体"/>
                <w:sz w:val="16"/>
              </w:rPr>
              <w:t>参加培训人员满意度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D67B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E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C9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22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81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03F0">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D624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4EC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FE04D">
            <w:pPr>
              <w:jc w:val="center"/>
            </w:pPr>
          </w:p>
        </w:tc>
      </w:tr>
      <w:tr w14:paraId="5B00A60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9E262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CFF1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6455E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B9314">
            <w:pPr>
              <w:jc w:val="center"/>
            </w:pPr>
            <w:r>
              <w:rPr>
                <w:rFonts w:ascii="宋体" w:hAnsi="宋体" w:eastAsia="宋体"/>
                <w:sz w:val="16"/>
              </w:rPr>
              <w:t>60.35分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8F2D67F"/>
        </w:tc>
      </w:tr>
    </w:tbl>
    <w:p w14:paraId="60756224">
      <w:r>
        <w:br w:type="page"/>
      </w:r>
    </w:p>
    <w:p w14:paraId="1AAE2277">
      <w:pPr>
        <w:spacing w:line="640" w:lineRule="exact"/>
        <w:ind w:firstLine="640"/>
        <w:jc w:val="both"/>
        <w:outlineLvl w:val="2"/>
      </w:pPr>
      <w:r>
        <w:rPr>
          <w:rFonts w:ascii="黑体" w:hAnsi="黑体" w:eastAsia="黑体"/>
          <w:sz w:val="32"/>
        </w:rPr>
        <w:t>十二、其他需说明的事项</w:t>
      </w:r>
    </w:p>
    <w:p w14:paraId="7766DF1D">
      <w:pPr>
        <w:spacing w:line="580" w:lineRule="exact"/>
        <w:ind w:firstLine="640"/>
        <w:jc w:val="both"/>
      </w:pPr>
      <w:r>
        <w:rPr>
          <w:rFonts w:ascii="仿宋_GB2312" w:hAnsi="仿宋_GB2312" w:eastAsia="仿宋_GB2312"/>
          <w:b w:val="0"/>
          <w:sz w:val="32"/>
        </w:rPr>
        <w:t>本单位无其他需说明的事项。</w:t>
      </w:r>
    </w:p>
    <w:p w14:paraId="5F80455C">
      <w:r>
        <w:br w:type="page"/>
      </w:r>
    </w:p>
    <w:p w14:paraId="1B805A98">
      <w:pPr>
        <w:spacing w:line="240" w:lineRule="auto"/>
        <w:jc w:val="center"/>
        <w:outlineLvl w:val="1"/>
      </w:pPr>
      <w:r>
        <w:rPr>
          <w:rFonts w:ascii="黑体" w:hAnsi="黑体" w:eastAsia="黑体"/>
          <w:sz w:val="32"/>
        </w:rPr>
        <w:t>第三部分 专业名词解释</w:t>
      </w:r>
    </w:p>
    <w:p w14:paraId="2A528D7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731FC8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9566EA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958F47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0EFC39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20D12A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20092F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432D6D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21617F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D7ADCC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407CDE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6414D3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6D61A5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38F621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72F2C36">
      <w:r>
        <w:br w:type="page"/>
      </w:r>
    </w:p>
    <w:p w14:paraId="69A39ADE">
      <w:pPr>
        <w:spacing w:line="240" w:lineRule="auto"/>
        <w:jc w:val="center"/>
        <w:outlineLvl w:val="1"/>
      </w:pPr>
      <w:r>
        <w:rPr>
          <w:rFonts w:ascii="黑体" w:hAnsi="黑体" w:eastAsia="黑体"/>
          <w:sz w:val="32"/>
        </w:rPr>
        <w:t>第四部分 部门决算报表（见附表）</w:t>
      </w:r>
    </w:p>
    <w:p w14:paraId="1009E88D">
      <w:pPr>
        <w:spacing w:line="240" w:lineRule="auto"/>
        <w:ind w:firstLine="640"/>
        <w:jc w:val="both"/>
      </w:pPr>
      <w:r>
        <w:rPr>
          <w:rFonts w:ascii="仿宋_GB2312" w:hAnsi="仿宋_GB2312" w:eastAsia="仿宋_GB2312"/>
          <w:b w:val="0"/>
          <w:sz w:val="32"/>
        </w:rPr>
        <w:t>一、《收入支出决算总表》</w:t>
      </w:r>
    </w:p>
    <w:p w14:paraId="4D4A7A9D">
      <w:pPr>
        <w:spacing w:line="240" w:lineRule="auto"/>
        <w:ind w:firstLine="640"/>
        <w:jc w:val="both"/>
      </w:pPr>
      <w:r>
        <w:rPr>
          <w:rFonts w:ascii="仿宋_GB2312" w:hAnsi="仿宋_GB2312" w:eastAsia="仿宋_GB2312"/>
          <w:b w:val="0"/>
          <w:sz w:val="32"/>
        </w:rPr>
        <w:t>二、《收入决算表》</w:t>
      </w:r>
    </w:p>
    <w:p w14:paraId="7F7F4D33">
      <w:pPr>
        <w:spacing w:line="240" w:lineRule="auto"/>
        <w:ind w:firstLine="640"/>
        <w:jc w:val="both"/>
      </w:pPr>
      <w:r>
        <w:rPr>
          <w:rFonts w:ascii="仿宋_GB2312" w:hAnsi="仿宋_GB2312" w:eastAsia="仿宋_GB2312"/>
          <w:b w:val="0"/>
          <w:sz w:val="32"/>
        </w:rPr>
        <w:t>三、《支出决算表》</w:t>
      </w:r>
    </w:p>
    <w:p w14:paraId="7F98EA0F">
      <w:pPr>
        <w:spacing w:line="240" w:lineRule="auto"/>
        <w:ind w:firstLine="640"/>
        <w:jc w:val="both"/>
      </w:pPr>
      <w:r>
        <w:rPr>
          <w:rFonts w:ascii="仿宋_GB2312" w:hAnsi="仿宋_GB2312" w:eastAsia="仿宋_GB2312"/>
          <w:b w:val="0"/>
          <w:sz w:val="32"/>
        </w:rPr>
        <w:t>四、《财政拨款收入支出决算总表》</w:t>
      </w:r>
    </w:p>
    <w:p w14:paraId="0F68F8F2">
      <w:pPr>
        <w:spacing w:line="240" w:lineRule="auto"/>
        <w:ind w:firstLine="640"/>
        <w:jc w:val="both"/>
      </w:pPr>
      <w:r>
        <w:rPr>
          <w:rFonts w:ascii="仿宋_GB2312" w:hAnsi="仿宋_GB2312" w:eastAsia="仿宋_GB2312"/>
          <w:b w:val="0"/>
          <w:sz w:val="32"/>
        </w:rPr>
        <w:t>五、《一般公共预算财政拨款支出决算表》</w:t>
      </w:r>
    </w:p>
    <w:p w14:paraId="3C7B61DE">
      <w:pPr>
        <w:spacing w:line="240" w:lineRule="auto"/>
        <w:ind w:firstLine="640"/>
        <w:jc w:val="both"/>
      </w:pPr>
      <w:r>
        <w:rPr>
          <w:rFonts w:ascii="仿宋_GB2312" w:hAnsi="仿宋_GB2312" w:eastAsia="仿宋_GB2312"/>
          <w:b w:val="0"/>
          <w:sz w:val="32"/>
        </w:rPr>
        <w:t>六、《一般公共预算财政拨款基本支出决算表》</w:t>
      </w:r>
    </w:p>
    <w:p w14:paraId="56FD8F8B">
      <w:pPr>
        <w:spacing w:line="240" w:lineRule="auto"/>
        <w:ind w:firstLine="640"/>
        <w:jc w:val="both"/>
      </w:pPr>
      <w:r>
        <w:rPr>
          <w:rFonts w:ascii="仿宋_GB2312" w:hAnsi="仿宋_GB2312" w:eastAsia="仿宋_GB2312"/>
          <w:b w:val="0"/>
          <w:sz w:val="32"/>
        </w:rPr>
        <w:t>七、《政府性基金预算财政拨款收入支出决算表》</w:t>
      </w:r>
    </w:p>
    <w:p w14:paraId="1274C732">
      <w:pPr>
        <w:spacing w:line="240" w:lineRule="auto"/>
        <w:ind w:firstLine="640"/>
        <w:jc w:val="both"/>
      </w:pPr>
      <w:r>
        <w:rPr>
          <w:rFonts w:ascii="仿宋_GB2312" w:hAnsi="仿宋_GB2312" w:eastAsia="仿宋_GB2312"/>
          <w:b w:val="0"/>
          <w:sz w:val="32"/>
        </w:rPr>
        <w:t>八、《国有资本经营预算财政拨款收入支出决算表》</w:t>
      </w:r>
    </w:p>
    <w:p w14:paraId="36C2A0B9">
      <w:pPr>
        <w:spacing w:line="240" w:lineRule="auto"/>
        <w:ind w:firstLine="640"/>
        <w:jc w:val="both"/>
      </w:pPr>
      <w:r>
        <w:rPr>
          <w:rFonts w:ascii="仿宋_GB2312" w:hAnsi="仿宋_GB2312" w:eastAsia="仿宋_GB2312"/>
          <w:b w:val="0"/>
          <w:sz w:val="32"/>
        </w:rPr>
        <w:t>九、《财政拨款“三公”经费支出决算表》</w:t>
      </w:r>
    </w:p>
    <w:p w14:paraId="09B5DC82">
      <w:pPr>
        <w:spacing w:line="240" w:lineRule="auto"/>
        <w:ind w:firstLine="640"/>
        <w:jc w:val="both"/>
      </w:pPr>
    </w:p>
    <w:p w14:paraId="48AAA764">
      <w:pPr>
        <w:spacing w:line="240" w:lineRule="auto"/>
        <w:ind w:firstLine="640"/>
        <w:jc w:val="both"/>
      </w:pPr>
    </w:p>
    <w:p w14:paraId="25E821CC">
      <w:pPr>
        <w:spacing w:line="240" w:lineRule="auto"/>
        <w:ind w:firstLine="640"/>
        <w:jc w:val="both"/>
      </w:pPr>
    </w:p>
    <w:p w14:paraId="36360B63">
      <w:pPr>
        <w:spacing w:line="240" w:lineRule="auto"/>
        <w:ind w:firstLine="640"/>
        <w:jc w:val="both"/>
      </w:pPr>
    </w:p>
    <w:p w14:paraId="354AB95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21F7F51-0AF0-4DC0-83E3-D2CD49D8B0C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91A61FE5-251F-427C-8FC2-F010C5727E35}"/>
  </w:font>
  <w:font w:name="方正小标宋_GBK">
    <w:panose1 w:val="02000000000000000000"/>
    <w:charset w:val="86"/>
    <w:family w:val="script"/>
    <w:pitch w:val="default"/>
    <w:sig w:usb0="A00002BF" w:usb1="38CF7CFA" w:usb2="00082016" w:usb3="00000000" w:csb0="00040001" w:csb1="00000000"/>
    <w:embedRegular r:id="rId3" w:fontKey="{5AD1E4BC-45D7-476F-80F5-1C3D4896E086}"/>
  </w:font>
  <w:font w:name="楷体_GB2312">
    <w:altName w:val="楷体"/>
    <w:panose1 w:val="00000000000000000000"/>
    <w:charset w:val="00"/>
    <w:family w:val="auto"/>
    <w:pitch w:val="default"/>
    <w:sig w:usb0="00000000" w:usb1="00000000" w:usb2="00000000" w:usb3="00000000" w:csb0="00000000" w:csb1="00000000"/>
    <w:embedRegular r:id="rId4" w:fontKey="{ADC6E3FE-077A-4434-809C-8A8BC03DDE27}"/>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1A1B73"/>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DFE318D"/>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5165</Words>
  <Characters>5814</Characters>
  <Lines>0</Lines>
  <Paragraphs>0</Paragraphs>
  <TotalTime>6</TotalTime>
  <ScaleCrop>false</ScaleCrop>
  <LinksUpToDate>false</LinksUpToDate>
  <CharactersWithSpaces>5822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2025-09-08T10:58:03Z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