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spacing w:line="560" w:lineRule="exact"/>
        <w:jc w:val="center"/>
        <w:rPr>
          <w:rFonts w:ascii="仿宋_GB2312" w:hAnsi="仿宋_GB2312" w:cs="仿宋_GB2312" w:hint="eastAsia"/>
          <w:b/>
          <w:bCs/>
          <w:color w:val="auto"/>
          <w:kern w:val="0"/>
          <w:sz w:val="44"/>
          <w:szCs w:val="44"/>
          <w:highlight w:val="none"/>
        </w:rPr>
      </w:pPr>
      <w:bookmarkStart w:id="0" w:name="_GoBack"/>
      <w:bookmarkEnd w:id="0"/>
    </w:p>
    <w:p>
      <w:pPr>
        <w:spacing w:line="560" w:lineRule="exact"/>
        <w:jc w:val="center"/>
        <w:rPr>
          <w:rFonts w:ascii="仿宋_GB2312" w:hAnsi="仿宋_GB2312" w:cs="仿宋_GB2312" w:hint="eastAsia"/>
          <w:b/>
          <w:bCs/>
          <w:color w:val="auto"/>
          <w:kern w:val="0"/>
          <w:sz w:val="44"/>
          <w:szCs w:val="44"/>
          <w:highlight w:val="none"/>
        </w:rPr>
      </w:pPr>
    </w:p>
    <w:p>
      <w:pPr>
        <w:spacing w:line="560" w:lineRule="exact"/>
        <w:jc w:val="center"/>
        <w:rPr>
          <w:rFonts w:ascii="方正小标宋_GBK" w:eastAsia="方正小标宋_GBK" w:hAnsi="黑体" w:cs="仿宋_GB2312" w:hint="eastAsia"/>
          <w:bCs/>
          <w:color w:val="auto"/>
          <w:kern w:val="0"/>
          <w:sz w:val="44"/>
          <w:szCs w:val="44"/>
          <w:highlight w:val="none"/>
        </w:rPr>
      </w:pPr>
      <w:r>
        <w:rPr>
          <w:rFonts w:ascii="方正小标宋_GBK" w:eastAsia="方正小标宋_GBK" w:hAnsi="黑体" w:cs="仿宋_GB2312" w:hint="eastAsia"/>
          <w:bCs/>
          <w:color w:val="auto"/>
          <w:kern w:val="0"/>
          <w:sz w:val="44"/>
          <w:szCs w:val="44"/>
          <w:highlight w:val="none"/>
          <w:lang w:eastAsia="zh-CN"/>
        </w:rPr>
        <w:t xml:space="preserve">软件服务及链路费项目</w:t>
      </w:r>
      <w:r>
        <w:rPr>
          <w:rFonts w:ascii="方正小标宋_GBK" w:eastAsia="方正小标宋_GBK" w:hAnsi="黑体" w:cs="仿宋_GB2312" w:hint="eastAsia"/>
          <w:bCs/>
          <w:color w:val="auto"/>
          <w:kern w:val="0"/>
          <w:sz w:val="44"/>
          <w:szCs w:val="44"/>
          <w:highlight w:val="none"/>
        </w:rPr>
        <w:t xml:space="preserve">支出绩效评价报告</w:t>
      </w:r>
    </w:p>
    <w:p>
      <w:pPr>
        <w:spacing w:line="560" w:lineRule="exact"/>
        <w:jc w:val="center"/>
        <w:rPr>
          <w:rFonts w:ascii="方正小标宋_GBK" w:eastAsia="方正小标宋_GBK" w:hAnsi="黑体" w:cs="仿宋_GB2312" w:hint="eastAsia"/>
          <w:color w:val="auto"/>
          <w:kern w:val="0"/>
          <w:sz w:val="44"/>
          <w:szCs w:val="44"/>
          <w:highlight w:val="none"/>
        </w:rPr>
      </w:pPr>
    </w:p>
    <w:p>
      <w:pPr>
        <w:spacing w:line="560" w:lineRule="exact"/>
        <w:jc w:val="center"/>
        <w:rPr>
          <w:rFonts w:ascii="方正小标宋_GBK" w:eastAsia="方正小标宋_GBK" w:hAnsi="黑体" w:cs="仿宋_GB2312" w:hint="eastAsia"/>
          <w:bCs/>
          <w:color w:val="auto"/>
          <w:sz w:val="44"/>
          <w:szCs w:val="44"/>
          <w:highlight w:val="none"/>
        </w:rPr>
      </w:pPr>
      <w:r>
        <w:rPr>
          <w:rFonts w:ascii="方正小标宋_GBK" w:eastAsia="方正小标宋_GBK" w:hAnsi="黑体" w:cs="仿宋_GB2312" w:hint="eastAsia"/>
          <w:bCs/>
          <w:color w:val="auto"/>
          <w:sz w:val="44"/>
          <w:szCs w:val="44"/>
          <w:highlight w:val="none"/>
        </w:rPr>
        <w:t xml:space="preserve">（2024年度）</w:t>
      </w: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jc w:val="center"/>
        <w:rPr>
          <w:rFonts w:ascii="仿宋_GB2312" w:hAnsi="仿宋_GB2312" w:cs="仿宋_GB2312" w:hint="eastAsia"/>
          <w:b/>
          <w:color w:val="auto"/>
          <w:kern w:val="0"/>
          <w:sz w:val="50"/>
          <w:szCs w:val="50"/>
          <w:highlight w:val="none"/>
          <w:lang w:bidi="en-US"/>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项目名称：软件服务及链路费项目</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项目单位：中共阿图什市委员会网络安全和信息化委员会办公室</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r>
        <w:rPr>
          <w:rFonts w:ascii="黑体" w:eastAsia="黑体" w:hAnsi="黑体" w:cs="仿宋_GB2312" w:hint="eastAsia"/>
          <w:color w:val="auto"/>
          <w:kern w:val="0"/>
          <w:sz w:val="32"/>
          <w:szCs w:val="32"/>
          <w:highlight w:val="none"/>
        </w:rPr>
        <w:t xml:space="preserve">主管部门：中共阿图什市委员会网络安全和信息化委员会办公室</w:t>
      </w:r>
    </w:p>
    <w:p>
      <w:pPr>
        <w:spacing w:line="560" w:lineRule="exact"/>
        <w:rPr>
          <w:rFonts w:ascii="黑体" w:eastAsia="黑体" w:hAnsi="黑体" w:cs="仿宋_GB2312" w:hint="eastAsia"/>
          <w:color w:val="auto"/>
          <w:kern w:val="0"/>
          <w:sz w:val="32"/>
          <w:szCs w:val="32"/>
          <w:highlight w:val="none"/>
        </w:rPr>
      </w:pPr>
    </w:p>
    <w:p>
      <w:pPr>
        <w:spacing w:line="560" w:lineRule="exact"/>
        <w:rPr>
          <w:rFonts w:ascii="黑体" w:eastAsia="黑体" w:hAnsi="黑体" w:cs="仿宋_GB2312" w:hint="eastAsia"/>
          <w:color w:val="auto"/>
          <w:kern w:val="0"/>
          <w:sz w:val="32"/>
          <w:szCs w:val="32"/>
          <w:highlight w:val="none"/>
        </w:rPr>
      </w:pPr>
    </w:p>
    <w:p>
      <w:pPr>
        <w:spacing w:line="560" w:lineRule="exact"/>
        <w:jc w:val="center"/>
        <w:rPr>
          <w:rFonts w:ascii="黑体" w:eastAsia="黑体" w:hAnsi="黑体" w:cs="仿宋_GB2312" w:hint="eastAsia"/>
          <w:color w:val="auto"/>
          <w:sz w:val="32"/>
          <w:szCs w:val="32"/>
          <w:highlight w:val="none"/>
        </w:rPr>
      </w:pPr>
      <w:r>
        <w:rPr>
          <w:rFonts w:ascii="黑体" w:eastAsia="黑体" w:hAnsi="黑体" w:cs="仿宋_GB2312" w:hint="eastAsia"/>
          <w:color w:val="auto"/>
          <w:sz w:val="32"/>
          <w:szCs w:val="32"/>
          <w:highlight w:val="none"/>
        </w:rPr>
        <w:t xml:space="preserve">202</w:t>
      </w:r>
      <w:r>
        <w:rPr>
          <w:rFonts w:ascii="黑体" w:eastAsia="黑体" w:hAnsi="黑体" w:cs="仿宋_GB2312"/>
          <w:color w:val="auto"/>
          <w:sz w:val="32"/>
          <w:szCs w:val="32"/>
          <w:highlight w:val="none"/>
        </w:rPr>
        <w:t xml:space="preserve">5</w:t>
      </w:r>
      <w:r>
        <w:rPr>
          <w:rFonts w:ascii="黑体" w:eastAsia="黑体" w:hAnsi="黑体" w:cs="仿宋_GB2312" w:hint="eastAsia"/>
          <w:color w:val="auto"/>
          <w:sz w:val="32"/>
          <w:szCs w:val="32"/>
          <w:highlight w:val="none"/>
        </w:rPr>
        <w:t xml:space="preserve">年</w:t>
      </w:r>
      <w:r>
        <w:rPr>
          <w:rFonts w:ascii="黑体" w:eastAsia="黑体" w:hAnsi="黑体" w:cs="仿宋_GB2312" w:hint="eastAsia"/>
          <w:color w:val="auto"/>
          <w:sz w:val="32"/>
          <w:szCs w:val="32"/>
          <w:highlight w:val="none"/>
          <w:lang w:val="en-US" w:eastAsia="zh-CN"/>
        </w:rPr>
        <w:t xml:space="preserve">4</w:t>
      </w:r>
      <w:r>
        <w:rPr>
          <w:rFonts w:ascii="黑体" w:eastAsia="黑体" w:hAnsi="黑体" w:cs="仿宋_GB2312" w:hint="eastAsia"/>
          <w:color w:val="auto"/>
          <w:sz w:val="32"/>
          <w:szCs w:val="32"/>
          <w:highlight w:val="none"/>
        </w:rPr>
        <w:t xml:space="preserve">月</w:t>
      </w:r>
      <w:r>
        <w:rPr>
          <w:rFonts w:ascii="黑体" w:eastAsia="黑体" w:hAnsi="黑体" w:cs="仿宋_GB2312" w:hint="eastAsia"/>
          <w:color w:val="auto"/>
          <w:sz w:val="32"/>
          <w:szCs w:val="32"/>
          <w:highlight w:val="none"/>
          <w:lang w:val="en-US" w:eastAsia="zh-CN"/>
        </w:rPr>
        <w:t xml:space="preserve">29</w:t>
      </w:r>
      <w:r>
        <w:rPr>
          <w:rFonts w:ascii="黑体" w:eastAsia="黑体" w:hAnsi="黑体" w:cs="仿宋_GB2312" w:hint="eastAsia"/>
          <w:color w:val="auto"/>
          <w:sz w:val="32"/>
          <w:szCs w:val="32"/>
          <w:highlight w:val="none"/>
        </w:rPr>
        <w:t xml:space="preserve">日</w:t>
      </w: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pacing w:line="560" w:lineRule="exact"/>
        <w:rPr>
          <w:rFonts w:ascii="仿宋_GB2312" w:hAnsi="仿宋_GB2312" w:cs="仿宋_GB2312" w:hint="eastAsia"/>
          <w:color w:val="auto"/>
          <w:szCs w:val="30"/>
          <w:highlight w:val="none"/>
        </w:rPr>
      </w:pPr>
    </w:p>
    <w:p>
      <w:pPr>
        <w:snapToGrid w:val="0"/>
        <w:spacing w:line="560" w:lineRule="exact"/>
        <w:jc w:val="center"/>
        <w:rPr>
          <w:rFonts w:ascii="方正小标宋_GBK" w:eastAsia="方正小标宋_GBK" w:hAnsi="仿宋_GB2312" w:cs="仿宋_GB2312" w:hint="eastAsia"/>
          <w:bCs/>
          <w:color w:val="auto"/>
          <w:sz w:val="44"/>
          <w:szCs w:val="44"/>
          <w:highlight w:val="none"/>
        </w:rPr>
      </w:pPr>
      <w:r>
        <w:rPr>
          <w:rFonts w:ascii="方正小标宋_GBK" w:eastAsia="方正小标宋_GBK" w:hAnsi="仿宋_GB2312" w:cs="仿宋_GB2312" w:hint="eastAsia"/>
          <w:bCs/>
          <w:color w:val="auto"/>
          <w:sz w:val="44"/>
          <w:szCs w:val="44"/>
          <w:highlight w:val="none"/>
          <w:lang w:eastAsia="zh-CN"/>
        </w:rPr>
        <w:t xml:space="preserve">软件服务及链路费项目</w:t>
      </w:r>
      <w:r>
        <w:rPr>
          <w:rFonts w:ascii="方正小标宋_GBK" w:eastAsia="方正小标宋_GBK" w:hAnsi="仿宋_GB2312" w:cs="仿宋_GB2312" w:hint="eastAsia"/>
          <w:bCs/>
          <w:color w:val="auto"/>
          <w:sz w:val="44"/>
          <w:szCs w:val="44"/>
          <w:highlight w:val="none"/>
        </w:rPr>
        <w:t xml:space="preserve">支出绩效评价报告</w:t>
      </w:r>
    </w:p>
    <w:p>
      <w:pPr>
        <w:snapToGrid w:val="0"/>
        <w:spacing w:line="560" w:lineRule="exact"/>
        <w:jc w:val="center"/>
        <w:rPr>
          <w:rFonts w:ascii="仿宋_GB2312" w:hAnsi="仿宋_GB2312" w:cs="仿宋_GB2312" w:hint="eastAsia"/>
          <w:color w:val="auto"/>
          <w:szCs w:val="30"/>
          <w:highlight w:val="none"/>
        </w:rPr>
      </w:pPr>
    </w:p>
    <w:p>
      <w:pPr>
        <w:snapToGrid w:val="0"/>
        <w:spacing w:line="560" w:lineRule="exact"/>
        <w:ind w:firstLine="640" w:firstLineChars="200"/>
        <w:rPr>
          <w:rFonts w:ascii="黑体" w:eastAsia="黑体" w:hAnsi="黑体" w:cs="仿宋_GB2312" w:hint="eastAsia"/>
          <w:bCs/>
          <w:color w:val="auto"/>
          <w:sz w:val="32"/>
          <w:szCs w:val="32"/>
          <w:highlight w:val="none"/>
        </w:rPr>
      </w:pPr>
      <w:r>
        <w:rPr>
          <w:rFonts w:ascii="黑体" w:eastAsia="黑体" w:hAnsi="黑体" w:cs="仿宋_GB2312" w:hint="eastAsia"/>
          <w:bCs/>
          <w:color w:val="auto"/>
          <w:sz w:val="32"/>
          <w:szCs w:val="32"/>
          <w:highlight w:val="none"/>
        </w:rPr>
        <w:t xml:space="preserve">一、基本情况</w:t>
      </w:r>
    </w:p>
    <w:p>
      <w:pPr>
        <w:snapToGrid w:val="0"/>
        <w:spacing w:line="560" w:lineRule="exact"/>
        <w:ind w:firstLine="640" w:firstLineChars="200"/>
        <w:outlineLvl w:val="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（一）项目概况</w:t>
      </w:r>
    </w:p>
    <w:p>
      <w:pPr>
        <w:snapToGrid w:val="0"/>
        <w:spacing w:line="560" w:lineRule="exact"/>
        <w:ind w:firstLine="800" w:firstLineChars="250"/>
        <w:outlineLvl w:val="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1．项目背景</w:t>
      </w:r>
    </w:p>
    <w:p>
      <w:pPr>
        <w:snapToGrid w:val="0"/>
        <w:spacing w:line="560" w:lineRule="exact"/>
        <w:ind w:firstLine="800" w:firstLineChars="250"/>
        <w:outlineLvl w:val="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lang w:val="en-US" w:eastAsia="zh-CN"/>
        </w:rPr>
        <w:t xml:space="preserve">根据</w:t>
      </w:r>
      <w:r>
        <w:rPr>
          <w:rFonts w:ascii="仿宋_GB2312" w:hAnsi="仿宋_GB2312" w:cs="仿宋_GB2312" w:hint="eastAsia"/>
          <w:color w:val="auto"/>
          <w:sz w:val="32"/>
          <w:szCs w:val="32"/>
          <w:highlight w:val="none"/>
        </w:rPr>
        <w:t xml:space="preserve">阿图什市“十四五”规划及互联网行业发展需要，按自治区、自治州网信工作要求，结合本单位互联网方面管理职能、属地管理方面工作职责，按照年度工作计划，开展软件及链路费项目。为进一步补齐网信工作短板，提升网信工作质量，达到属地互联网风清气正的工作效果，本项目立项依据为：《中华人民共和国网络安全法》《关于印发&lt;2023年全州网信工作要点&gt;及&lt;2023年全州网信工作要点分解方案&gt;的通知》（克党网信字【2023】3号）、《阿图什市委网信办2023年第十次办务会会议纪要》。</w:t>
      </w:r>
    </w:p>
    <w:p>
      <w:pPr>
        <w:snapToGrid w:val="0"/>
        <w:spacing w:line="560" w:lineRule="exact"/>
        <w:ind w:firstLine="800" w:firstLineChars="250"/>
        <w:outlineLvl w:val="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2．主要内容及实施情况</w:t>
      </w:r>
    </w:p>
    <w:p>
      <w:pPr>
        <w:snapToGrid w:val="0"/>
        <w:spacing w:line="560" w:lineRule="exact"/>
        <w:ind w:firstLine="800" w:firstLineChars="250"/>
        <w:outlineLvl w:val="0"/>
        <w:rPr>
          <w:rFonts w:ascii="仿宋_GB2312" w:hAnsi="仿宋_GB2312" w:cs="仿宋_GB2312" w:hint="eastAsia"/>
          <w:color w:val="auto"/>
          <w:sz w:val="32"/>
          <w:szCs w:val="30"/>
          <w:highlight w:val="none"/>
        </w:rPr>
      </w:pPr>
      <w:r>
        <w:rPr>
          <w:rFonts w:ascii="仿宋_GB2312" w:hAnsi="仿宋_GB2312" w:cs="仿宋_GB2312" w:hint="eastAsia"/>
          <w:color w:val="auto"/>
          <w:sz w:val="32"/>
          <w:szCs w:val="30"/>
          <w:highlight w:val="none"/>
        </w:rPr>
        <w:t xml:space="preserve">（1）主要内容</w:t>
      </w:r>
    </w:p>
    <w:p>
      <w:pPr>
        <w:snapToGrid w:val="0"/>
        <w:spacing w:line="560" w:lineRule="exact"/>
        <w:ind w:firstLine="800" w:firstLineChars="250"/>
        <w:outlineLvl w:val="0"/>
        <w:rPr>
          <w:rFonts w:ascii="仿宋_GB2312" w:hAnsi="仿宋_GB2312" w:cs="仿宋_GB2312" w:hint="eastAsia"/>
          <w:color w:val="auto"/>
          <w:sz w:val="32"/>
          <w:szCs w:val="30"/>
          <w:highlight w:val="none"/>
        </w:rPr>
      </w:pPr>
      <w:r>
        <w:rPr>
          <w:rFonts w:ascii="仿宋_GB2312" w:hAnsi="仿宋_GB2312" w:cs="仿宋_GB2312" w:hint="eastAsia"/>
          <w:color w:val="auto"/>
          <w:sz w:val="32"/>
          <w:szCs w:val="30"/>
          <w:highlight w:val="none"/>
        </w:rPr>
        <w:t xml:space="preserve">项目实施内容：</w:t>
      </w:r>
    </w:p>
    <w:p>
      <w:pPr>
        <w:snapToGrid w:val="0"/>
        <w:spacing w:line="560" w:lineRule="exact"/>
        <w:ind w:firstLine="800" w:firstLineChars="250"/>
        <w:outlineLvl w:val="0"/>
        <w:rPr>
          <w:rFonts w:ascii="仿宋_GB2312" w:eastAsia="仿宋_GB2312" w:hAnsi="仿宋_GB2312" w:cs="仿宋_GB2312" w:hint="eastAsia"/>
          <w:color w:val="auto"/>
          <w:sz w:val="32"/>
          <w:szCs w:val="30"/>
          <w:highlight w:val="none"/>
          <w:lang w:val="en-US" w:eastAsia="zh-CN"/>
        </w:rPr>
      </w:pPr>
      <w:r>
        <w:rPr>
          <w:rFonts w:ascii="仿宋_GB2312" w:eastAsia="仿宋_GB2312" w:hAnsi="仿宋_GB2312" w:cs="仿宋_GB2312" w:hint="eastAsia"/>
          <w:color w:val="auto"/>
          <w:sz w:val="32"/>
          <w:szCs w:val="30"/>
          <w:highlight w:val="none"/>
          <w:lang w:val="en-US" w:eastAsia="zh-CN"/>
        </w:rPr>
        <w:t xml:space="preserve">根据《中华人民共和国网络安全法》《关于印发&lt;2023年全州网信工作要点&gt;及&lt;2023年全州网信工作要点分解方案&gt;的通知》（克党网信字【2023】3号）、《阿图什市委网信办2023年第十次办务会会议纪要》，本项目安排资金110万元，用于采购软件6项、网络服务7项；通过项目的实施，达到互联网畅通，属地网络安全，确保网信业务工作正常运转的效果。</w:t>
      </w:r>
      <w:r>
        <w:rPr>
          <w:rFonts w:ascii="仿宋_GB2312" w:eastAsia="仿宋_GB2312" w:hAnsi="仿宋_GB2312" w:cs="仿宋_GB2312" w:hint="eastAsia"/>
          <w:color w:val="auto"/>
          <w:sz w:val="32"/>
          <w:szCs w:val="30"/>
          <w:highlight w:val="none"/>
          <w:lang w:val="en-US" w:eastAsia="zh-CN"/>
        </w:rPr>
        <w:tab/>
      </w:r>
      <w:r>
        <w:rPr>
          <w:rFonts w:ascii="仿宋_GB2312" w:eastAsia="仿宋_GB2312" w:hAnsi="仿宋_GB2312" w:cs="仿宋_GB2312" w:hint="eastAsia"/>
          <w:color w:val="auto"/>
          <w:sz w:val="32"/>
          <w:szCs w:val="30"/>
          <w:highlight w:val="none"/>
          <w:lang w:val="en-US" w:eastAsia="zh-CN"/>
        </w:rPr>
        <w:tab/>
      </w:r>
      <w:r>
        <w:rPr>
          <w:rFonts w:ascii="仿宋_GB2312" w:eastAsia="仿宋_GB2312" w:hAnsi="仿宋_GB2312" w:cs="仿宋_GB2312" w:hint="eastAsia"/>
          <w:color w:val="auto"/>
          <w:sz w:val="32"/>
          <w:szCs w:val="30"/>
          <w:highlight w:val="none"/>
          <w:lang w:val="en-US" w:eastAsia="zh-CN"/>
        </w:rPr>
        <w:tab/>
      </w:r>
      <w:r>
        <w:rPr>
          <w:rFonts w:ascii="仿宋_GB2312" w:eastAsia="仿宋_GB2312" w:hAnsi="仿宋_GB2312" w:cs="仿宋_GB2312" w:hint="eastAsia"/>
          <w:color w:val="auto"/>
          <w:sz w:val="32"/>
          <w:szCs w:val="30"/>
          <w:highlight w:val="none"/>
          <w:lang w:val="en-US" w:eastAsia="zh-CN"/>
        </w:rPr>
        <w:tab/>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（2）实施情况：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实施主体：本项目的主管部门为中共阿图什市委员会网络安全和信息化委员会办公室,实施单位为中共阿图什市委员会网络安全和信息化委员会办公室，主要职责：项目实施过程中严格按照实施方案进行实施并及时进行监督管理，项目实施后进行及时验收及后期管理。</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实施时间：202</w:t>
      </w:r>
      <w:r>
        <w:rPr>
          <w:rFonts w:ascii="仿宋_GB2312" w:hAnsi="仿宋_GB2312" w:cs="仿宋_GB2312"/>
          <w:bCs/>
          <w:color w:val="auto"/>
          <w:sz w:val="32"/>
          <w:szCs w:val="30"/>
          <w:highlight w:val="none"/>
        </w:rPr>
        <w:t xml:space="preserve">4</w:t>
      </w:r>
      <w:r>
        <w:rPr>
          <w:rFonts w:ascii="仿宋_GB2312" w:hAnsi="仿宋_GB2312" w:cs="仿宋_GB2312" w:hint="eastAsia"/>
          <w:bCs/>
          <w:color w:val="auto"/>
          <w:sz w:val="32"/>
          <w:szCs w:val="30"/>
          <w:highlight w:val="none"/>
        </w:rPr>
        <w:t xml:space="preserve">年</w:t>
      </w:r>
      <w:r>
        <w:rPr>
          <w:rFonts w:ascii="仿宋_GB2312" w:hAnsi="仿宋_GB2312" w:cs="仿宋_GB2312" w:hint="eastAsia"/>
          <w:bCs/>
          <w:color w:val="auto"/>
          <w:sz w:val="32"/>
          <w:szCs w:val="30"/>
          <w:highlight w:val="none"/>
          <w:lang w:val="en-US" w:eastAsia="zh-CN"/>
        </w:rPr>
        <w:t xml:space="preserve">1</w:t>
      </w:r>
      <w:r>
        <w:rPr>
          <w:rFonts w:ascii="仿宋_GB2312" w:hAnsi="仿宋_GB2312" w:cs="仿宋_GB2312" w:hint="eastAsia"/>
          <w:bCs/>
          <w:color w:val="auto"/>
          <w:sz w:val="32"/>
          <w:szCs w:val="30"/>
          <w:highlight w:val="none"/>
        </w:rPr>
        <w:t xml:space="preserve">月-</w:t>
      </w:r>
      <w:r>
        <w:rPr>
          <w:rFonts w:ascii="仿宋_GB2312" w:hAnsi="仿宋_GB2312" w:cs="仿宋_GB2312" w:hint="eastAsia"/>
          <w:bCs/>
          <w:color w:val="auto"/>
          <w:sz w:val="32"/>
          <w:szCs w:val="30"/>
          <w:highlight w:val="none"/>
          <w:lang w:val="en-US" w:eastAsia="zh-CN"/>
        </w:rPr>
        <w:t xml:space="preserve">1</w:t>
      </w:r>
      <w:r>
        <w:rPr>
          <w:rFonts w:ascii="仿宋_GB2312" w:hAnsi="仿宋_GB2312" w:cs="仿宋_GB2312" w:hint="eastAsia"/>
          <w:bCs/>
          <w:color w:val="auto"/>
          <w:sz w:val="32"/>
          <w:szCs w:val="30"/>
          <w:highlight w:val="none"/>
          <w:lang w:val="en-US" w:eastAsia="zh-CN"/>
        </w:rPr>
        <w:t xml:space="preserve">2</w:t>
      </w:r>
      <w:r>
        <w:rPr>
          <w:rFonts w:ascii="仿宋_GB2312" w:hAnsi="仿宋_GB2312" w:cs="仿宋_GB2312" w:hint="eastAsia"/>
          <w:bCs/>
          <w:color w:val="auto"/>
          <w:sz w:val="32"/>
          <w:szCs w:val="30"/>
          <w:highlight w:val="none"/>
        </w:rPr>
        <w:t xml:space="preserve">月</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ascii="仿宋_GB2312" w:hAnsi="仿宋_GB2312" w:cs="仿宋_GB2312" w:hint="eastAsia"/>
          <w:bCs/>
          <w:color w:val="auto"/>
          <w:sz w:val="32"/>
          <w:szCs w:val="30"/>
          <w:highlight w:val="none"/>
        </w:rPr>
        <w:t xml:space="preserve">实施结果：</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int="eastAsia"/>
          <w:color w:val="auto"/>
          <w:sz w:val="32"/>
          <w:szCs w:val="32"/>
          <w:highlight w:val="none"/>
        </w:rPr>
        <w:t xml:space="preserve">项目实施前进行充分调研，并制定项目实施方案，项目实施过程中严格按照实施方案进行实施并及时进行监督管理，项目实施后进行及时验收及后期维护</w:t>
      </w:r>
      <w:r>
        <w:rPr>
          <w:rFonts w:ascii="仿宋_GB2312" w:hAnsi="仿宋_GB2312" w:cs="仿宋_GB2312" w:hint="eastAsia"/>
          <w:bCs/>
          <w:color w:val="auto"/>
          <w:sz w:val="32"/>
          <w:szCs w:val="30"/>
          <w:highlight w:val="none"/>
        </w:rPr>
        <w:t xml:space="preserve">。</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rPr>
          <w:rFonts w:ascii="仿宋_GB2312" w:hAnsi="仿宋_GB2312" w:cs="仿宋_GB2312" w:hint="eastAsia"/>
          <w:bCs/>
          <w:color w:val="auto"/>
          <w:sz w:val="32"/>
          <w:szCs w:val="30"/>
          <w:highlight w:val="none"/>
        </w:rPr>
      </w:pPr>
      <w:r>
        <w:rPr>
          <w:rFonts w:ascii="仿宋_GB2312" w:hAnsi="仿宋_GB2312" w:cs="仿宋_GB2312" w:hint="eastAsia"/>
          <w:bCs/>
          <w:color w:val="auto"/>
          <w:sz w:val="32"/>
          <w:szCs w:val="30"/>
          <w:highlight w:val="none"/>
        </w:rPr>
        <w:t xml:space="preserve">3．资金投入和使用情况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Ansi="仿宋_GB2312" w:cs="仿宋_GB2312" w:hint="eastAsia"/>
          <w:b w:val="0"/>
          <w:bCs w:val="0"/>
          <w:color w:val="auto"/>
          <w:spacing w:val="-4"/>
          <w:sz w:val="32"/>
          <w:szCs w:val="30"/>
          <w:highlight w:val="none"/>
        </w:rPr>
      </w:pPr>
      <w:r>
        <w:rPr>
          <w:rStyle w:val="Strong"/>
          <w:rFonts w:ascii="仿宋_GB2312" w:hAnsi="仿宋_GB2312" w:cs="仿宋_GB2312" w:hint="eastAsia"/>
          <w:b w:val="0"/>
          <w:bCs w:val="0"/>
          <w:color w:val="auto"/>
          <w:spacing w:val="-4"/>
          <w:sz w:val="32"/>
          <w:szCs w:val="30"/>
          <w:highlight w:val="none"/>
        </w:rPr>
        <w:t xml:space="preserve">资金投入情况：本项目总投资</w:t>
      </w:r>
      <w:r>
        <w:rPr>
          <w:rStyle w:val="Strong"/>
          <w:rFonts w:ascii="仿宋_GB2312" w:hAnsi="仿宋_GB2312" w:cs="仿宋_GB2312" w:hint="eastAsia"/>
          <w:b w:val="0"/>
          <w:bCs w:val="0"/>
          <w:color w:val="auto"/>
          <w:spacing w:val="-4"/>
          <w:sz w:val="32"/>
          <w:szCs w:val="30"/>
          <w:highlight w:val="none"/>
          <w:lang w:val="en-US" w:eastAsia="zh-CN"/>
        </w:rPr>
        <w:t xml:space="preserve">1</w:t>
      </w:r>
      <w:r>
        <w:rPr>
          <w:rStyle w:val="Strong"/>
          <w:rFonts w:ascii="仿宋_GB2312" w:hAnsi="仿宋_GB2312" w:cs="仿宋_GB2312" w:hint="eastAsia"/>
          <w:b w:val="0"/>
          <w:bCs w:val="0"/>
          <w:color w:val="auto"/>
          <w:spacing w:val="-4"/>
          <w:sz w:val="32"/>
          <w:szCs w:val="30"/>
          <w:highlight w:val="none"/>
          <w:lang w:val="en-US" w:eastAsia="zh-CN"/>
        </w:rPr>
        <w:t xml:space="preserve">10</w:t>
      </w:r>
      <w:r>
        <w:rPr>
          <w:rStyle w:val="Strong"/>
          <w:rFonts w:ascii="仿宋_GB2312" w:hAnsi="仿宋_GB2312" w:cs="仿宋_GB2312" w:hint="eastAsia"/>
          <w:b w:val="0"/>
          <w:bCs w:val="0"/>
          <w:color w:val="auto"/>
          <w:spacing w:val="-4"/>
          <w:sz w:val="32"/>
          <w:szCs w:val="30"/>
          <w:highlight w:val="none"/>
        </w:rPr>
        <w:t xml:space="preserve">万元，资金来源为本级部门预算资金。</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Ansi="仿宋_GB2312" w:cs="仿宋_GB2312" w:hint="eastAsia"/>
          <w:b w:val="0"/>
          <w:color w:val="auto"/>
          <w:spacing w:val="-4"/>
          <w:sz w:val="32"/>
          <w:szCs w:val="30"/>
          <w:highlight w:val="none"/>
        </w:rPr>
      </w:pPr>
      <w:r>
        <w:rPr>
          <w:rStyle w:val="Strong"/>
          <w:rFonts w:ascii="仿宋_GB2312" w:hAnsi="仿宋_GB2312" w:cs="仿宋_GB2312" w:hint="eastAsia"/>
          <w:b w:val="0"/>
          <w:color w:val="auto"/>
          <w:spacing w:val="-4"/>
          <w:sz w:val="32"/>
          <w:szCs w:val="30"/>
          <w:highlight w:val="none"/>
        </w:rPr>
        <w:t xml:space="preserve">资金使用情况：根据项目实施情况，项目资金实际支付</w:t>
      </w:r>
      <w:r>
        <w:rPr>
          <w:rStyle w:val="Strong"/>
          <w:rFonts w:ascii="仿宋_GB2312" w:hAnsi="仿宋_GB2312" w:cs="仿宋_GB2312" w:hint="eastAsia"/>
          <w:b w:val="0"/>
          <w:color w:val="auto"/>
          <w:spacing w:val="-4"/>
          <w:sz w:val="32"/>
          <w:szCs w:val="30"/>
          <w:highlight w:val="none"/>
          <w:lang w:val="en-US" w:eastAsia="zh-CN"/>
        </w:rPr>
        <w:t xml:space="preserve">4</w:t>
      </w:r>
      <w:r>
        <w:rPr>
          <w:rStyle w:val="Strong"/>
          <w:rFonts w:ascii="仿宋_GB2312" w:hAnsi="仿宋_GB2312" w:cs="仿宋_GB2312" w:hint="eastAsia"/>
          <w:b w:val="0"/>
          <w:color w:val="auto"/>
          <w:spacing w:val="-4"/>
          <w:sz w:val="32"/>
          <w:szCs w:val="30"/>
          <w:highlight w:val="none"/>
          <w:lang w:val="en-US" w:eastAsia="zh-CN"/>
        </w:rPr>
        <w:t xml:space="preserve">3.05</w:t>
      </w:r>
      <w:r>
        <w:rPr>
          <w:rStyle w:val="Strong"/>
          <w:rFonts w:ascii="仿宋_GB2312" w:hAnsi="仿宋_GB2312" w:cs="仿宋_GB2312" w:hint="eastAsia"/>
          <w:b w:val="0"/>
          <w:color w:val="auto"/>
          <w:spacing w:val="-4"/>
          <w:sz w:val="32"/>
          <w:szCs w:val="30"/>
          <w:highlight w:val="none"/>
        </w:rPr>
        <w:t xml:space="preserve">万元，资金执行率达到</w:t>
      </w:r>
      <w:r>
        <w:rPr>
          <w:rStyle w:val="Strong"/>
          <w:rFonts w:ascii="仿宋_GB2312" w:hAnsi="仿宋_GB2312" w:cs="仿宋_GB2312" w:hint="eastAsia"/>
          <w:b w:val="0"/>
          <w:color w:val="auto"/>
          <w:spacing w:val="-4"/>
          <w:sz w:val="32"/>
          <w:szCs w:val="30"/>
          <w:highlight w:val="none"/>
          <w:lang w:val="en-US" w:eastAsia="zh-CN"/>
        </w:rPr>
        <w:t xml:space="preserve">3</w:t>
      </w:r>
      <w:r>
        <w:rPr>
          <w:rStyle w:val="Strong"/>
          <w:rFonts w:ascii="仿宋_GB2312" w:hAnsi="仿宋_GB2312" w:cs="仿宋_GB2312" w:hint="eastAsia"/>
          <w:b w:val="0"/>
          <w:color w:val="auto"/>
          <w:spacing w:val="-4"/>
          <w:sz w:val="32"/>
          <w:szCs w:val="30"/>
          <w:highlight w:val="none"/>
          <w:lang w:val="en-US" w:eastAsia="zh-CN"/>
        </w:rPr>
        <w:t xml:space="preserve">9.1</w:t>
      </w:r>
      <w:r>
        <w:rPr>
          <w:rStyle w:val="Strong"/>
          <w:rFonts w:ascii="仿宋_GB2312" w:hAnsi="仿宋_GB2312" w:cs="仿宋_GB2312" w:hint="eastAsia"/>
          <w:b w:val="0"/>
          <w:color w:val="auto"/>
          <w:spacing w:val="-4"/>
          <w:sz w:val="32"/>
          <w:szCs w:val="30"/>
          <w:highlight w:val="none"/>
        </w:rPr>
        <w:t xml:space="preserve">%。具体使用情况如下：</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int="eastAsia"/>
          <w:b w:val="0"/>
          <w:color w:val="auto"/>
          <w:spacing w:val="-4"/>
          <w:sz w:val="32"/>
          <w:highlight w:val="none"/>
        </w:rPr>
      </w:pPr>
      <w:r>
        <w:rPr>
          <w:rStyle w:val="Strong"/>
          <w:rFonts w:ascii="仿宋_GB2312" w:hint="eastAsia"/>
          <w:b w:val="0"/>
          <w:color w:val="auto"/>
          <w:spacing w:val="-4"/>
          <w:sz w:val="32"/>
          <w:highlight w:val="none"/>
        </w:rPr>
        <w:t xml:space="preserve">采购软件成本</w:t>
      </w:r>
      <w:r>
        <w:rPr>
          <w:rStyle w:val="Strong"/>
          <w:rFonts w:ascii="仿宋_GB2312" w:hint="eastAsia"/>
          <w:b w:val="0"/>
          <w:color w:val="auto"/>
          <w:spacing w:val="-4"/>
          <w:sz w:val="32"/>
          <w:highlight w:val="none"/>
          <w:lang w:eastAsia="zh-CN"/>
        </w:rPr>
        <w:t xml:space="preserve">：</w:t>
      </w:r>
      <w:r>
        <w:rPr>
          <w:rStyle w:val="Strong"/>
          <w:rFonts w:ascii="仿宋_GB2312" w:hint="eastAsia"/>
          <w:b w:val="0"/>
          <w:color w:val="auto"/>
          <w:spacing w:val="-4"/>
          <w:sz w:val="32"/>
          <w:highlight w:val="none"/>
        </w:rPr>
        <w:t xml:space="preserve">37.65万元</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Style w:val="Strong"/>
          <w:rFonts w:ascii="仿宋_GB2312" w:hint="eastAsia"/>
          <w:b w:val="0"/>
          <w:color w:val="auto"/>
          <w:spacing w:val="-4"/>
          <w:sz w:val="32"/>
          <w:highlight w:val="none"/>
        </w:rPr>
      </w:pPr>
      <w:r>
        <w:rPr>
          <w:rStyle w:val="Strong"/>
          <w:rFonts w:ascii="仿宋_GB2312" w:hint="eastAsia"/>
          <w:b w:val="0"/>
          <w:color w:val="auto"/>
          <w:spacing w:val="-4"/>
          <w:sz w:val="32"/>
          <w:highlight w:val="none"/>
        </w:rPr>
        <w:t xml:space="preserve">网络服务成本</w:t>
      </w:r>
      <w:r>
        <w:rPr>
          <w:rStyle w:val="Strong"/>
          <w:rFonts w:ascii="仿宋_GB2312" w:hint="eastAsia"/>
          <w:b w:val="0"/>
          <w:color w:val="auto"/>
          <w:spacing w:val="-4"/>
          <w:sz w:val="32"/>
          <w:highlight w:val="none"/>
          <w:lang w:eastAsia="zh-CN"/>
        </w:rPr>
        <w:t xml:space="preserve">：</w:t>
      </w:r>
      <w:r>
        <w:rPr>
          <w:rStyle w:val="Strong"/>
          <w:rFonts w:ascii="仿宋_GB2312" w:hint="eastAsia"/>
          <w:b w:val="0"/>
          <w:color w:val="auto"/>
          <w:spacing w:val="-4"/>
          <w:sz w:val="32"/>
          <w:highlight w:val="none"/>
        </w:rPr>
        <w:t xml:space="preserve">5.4万元</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800" w:firstLineChars="250"/>
        <w:jc w:val="left"/>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（二）项目绩效目标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contextualSpacing/>
        <w:rPr>
          <w:rFonts w:ascii="仿宋_GB2312" w:hAnsi="仿宋" w:cs="宋体" w:hint="eastAsia"/>
          <w:color w:val="auto"/>
          <w:sz w:val="32"/>
          <w:szCs w:val="32"/>
          <w:highlight w:val="none"/>
        </w:rPr>
      </w:pPr>
      <w:r>
        <w:rPr>
          <w:rFonts w:ascii="仿宋_GB2312" w:hAnsi="仿宋_GB2312" w:cs="仿宋_GB2312" w:hint="eastAsia"/>
          <w:color w:val="auto"/>
          <w:sz w:val="32"/>
          <w:highlight w:val="none"/>
        </w:rPr>
        <w:t xml:space="preserve">年度总体目标为：根据《中华人民共和国网络安全法》《关于印发&lt;2023年全州网信工作要点&gt;及&lt;2023年全州网信工作要点分解方案&gt;的通知》（克党网信字【2023】3号）、《阿图什市委网信办2023年第十次办务会会议纪要》，本项目安排资金110万元，用于采购软件6项、网络服务7项；通过项目的实施，达到互联网畅通，属地网络安全，确保网信业务工作正常运转的效果。</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黑体" w:eastAsia="黑体" w:hAnsi="黑体" w:cs="仿宋_GB2312" w:hint="eastAsia"/>
          <w:bCs/>
          <w:color w:val="auto"/>
          <w:sz w:val="32"/>
          <w:highlight w:val="none"/>
        </w:rPr>
      </w:pPr>
      <w:r>
        <w:rPr>
          <w:rFonts w:ascii="黑体" w:eastAsia="黑体" w:hAnsi="黑体" w:cs="仿宋_GB2312" w:hint="eastAsia"/>
          <w:bCs/>
          <w:color w:val="auto"/>
          <w:sz w:val="32"/>
          <w:highlight w:val="none"/>
        </w:rPr>
        <w:t xml:space="preserve">二、绩效评价工作开展情况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（一）绩效评价目的、对象和范围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 1．绩效评价目的</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本次绩效评价遵循财政部《项目支出绩效评价管理办法》（财预〔2020〕10号）和自治区财政厅</w:t>
      </w:r>
      <w:r>
        <w:rPr>
          <w:rFonts w:ascii="仿宋_GB2312" w:hAnsi="仿宋_GB2312" w:cs="仿宋_GB2312" w:hint="eastAsia"/>
          <w:color w:val="auto"/>
          <w:kern w:val="0"/>
          <w:sz w:val="32"/>
          <w:szCs w:val="32"/>
          <w:highlight w:val="none"/>
          <w:shd w:val="clear" w:color="auto" w:fill="FFFFFF"/>
        </w:rPr>
        <w:t xml:space="preserve">《自治区财政支出绩效评价管理暂行办法》（新财预〔2018〕189号）</w:t>
      </w:r>
      <w:r>
        <w:rPr>
          <w:rFonts w:ascii="仿宋_GB2312" w:hAnsi="仿宋_GB2312" w:cs="仿宋_GB2312" w:hint="eastAsia"/>
          <w:color w:val="auto"/>
          <w:sz w:val="32"/>
          <w:szCs w:val="32"/>
          <w:highlight w:val="none"/>
        </w:rPr>
        <w:t xml:space="preserve">等相关政策文件</w:t>
      </w:r>
      <w:r>
        <w:rPr>
          <w:rFonts w:ascii="仿宋_GB2312" w:hAnsi="仿宋_GB2312" w:cs="仿宋_GB2312" w:hint="eastAsia"/>
          <w:color w:val="auto"/>
          <w:sz w:val="32"/>
          <w:szCs w:val="32"/>
          <w:highlight w:val="none"/>
          <w:lang w:eastAsia="zh-CN"/>
        </w:rPr>
        <w:t xml:space="preserve">和</w:t>
      </w:r>
      <w:r>
        <w:rPr>
          <w:rFonts w:ascii="仿宋_GB2312" w:hAnsi="仿宋_GB2312" w:cs="仿宋_GB2312" w:hint="eastAsia"/>
          <w:color w:val="auto"/>
          <w:sz w:val="32"/>
          <w:szCs w:val="32"/>
          <w:highlight w:val="none"/>
        </w:rPr>
        <w:t xml:space="preserve">规定，绩效评价旨在评价本项目前期审批、实施过程及实施效果，促进预算管理不断完善，加快绩效目标的实现，保证财政资金有效、合理使用，具体绩效评价的目的细分如下：</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2．绩效评价对象</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对202</w:t>
      </w:r>
      <w:r>
        <w:rPr>
          <w:rFonts w:ascii="仿宋_GB2312" w:hAnsi="仿宋_GB2312" w:cs="仿宋_GB2312"/>
          <w:color w:val="auto"/>
          <w:sz w:val="32"/>
          <w:szCs w:val="32"/>
          <w:highlight w:val="none"/>
        </w:rPr>
        <w:t xml:space="preserve">4</w:t>
      </w:r>
      <w:r>
        <w:rPr>
          <w:rFonts w:ascii="仿宋_GB2312" w:hAnsi="仿宋_GB2312" w:cs="仿宋_GB2312" w:hint="eastAsia"/>
          <w:color w:val="auto"/>
          <w:sz w:val="32"/>
          <w:szCs w:val="32"/>
          <w:highlight w:val="none"/>
        </w:rPr>
        <w:t xml:space="preserve">年</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从预算编制合理性、资金使用合规性、项目管理的规范性、实施情况、总体绩效目标、各项绩效指标完成情况以及预算执行情况进行科学性评价。</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3．绩效评价范围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本次评价从项目决策（包括绩效目标、决策过程）、项目管理（包括项目资金、项目实施）、项目产出（包括项目产出数量、产出质量、产出时效和产出成本）项目效益四个维度进行评价。</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楷体" w:eastAsia="楷体" w:hAnsi="楷体" w:cs="仿宋_GB2312" w:hint="eastAsia"/>
          <w:b/>
          <w:color w:val="auto"/>
          <w:sz w:val="32"/>
          <w:highlight w:val="none"/>
        </w:rPr>
      </w:pPr>
      <w:r>
        <w:rPr>
          <w:rFonts w:ascii="楷体" w:eastAsia="楷体" w:hAnsi="楷体" w:cs="仿宋_GB2312" w:hint="eastAsia"/>
          <w:b/>
          <w:color w:val="auto"/>
          <w:sz w:val="32"/>
          <w:highlight w:val="none"/>
        </w:rPr>
        <w:t xml:space="preserve">（二）绩效评价原则、评价指标体系（附表说明）、评价方法、评价标准等。</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color w:val="auto"/>
          <w:sz w:val="32"/>
          <w:highlight w:val="none"/>
        </w:rPr>
      </w:pPr>
      <w:r>
        <w:rPr>
          <w:rFonts w:ascii="仿宋_GB2312" w:hAnsi="仿宋" w:cs="宋体" w:hint="eastAsia"/>
          <w:b/>
          <w:color w:val="auto"/>
          <w:sz w:val="32"/>
          <w:szCs w:val="32"/>
          <w:highlight w:val="none"/>
        </w:rPr>
        <w:t xml:space="preserve">1．</w:t>
      </w:r>
      <w:r>
        <w:rPr>
          <w:rFonts w:ascii="仿宋_GB2312" w:hAnsi="仿宋_GB2312" w:cs="仿宋_GB2312" w:hint="eastAsia"/>
          <w:b/>
          <w:color w:val="auto"/>
          <w:sz w:val="32"/>
          <w:highlight w:val="none"/>
        </w:rPr>
        <w:t xml:space="preserve">绩效评价原则 </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（1）科学公正。绩效评价应当运用科学合理的方法，按照规范的程序，对项目绩效进行客观、公正的反映。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（3）激励约束。绩效评价结果</w:t>
      </w:r>
      <w:r>
        <w:rPr>
          <w:rFonts w:ascii="仿宋_GB2312" w:hAnsi="仿宋_GB2312" w:cs="仿宋_GB2312" w:hint="eastAsia"/>
          <w:color w:val="auto"/>
          <w:sz w:val="32"/>
          <w:highlight w:val="none"/>
          <w:lang w:eastAsia="zh-CN"/>
        </w:rPr>
        <w:t xml:space="preserve">应用、</w:t>
      </w:r>
      <w:r>
        <w:rPr>
          <w:rFonts w:ascii="仿宋_GB2312" w:hAnsi="仿宋_GB2312" w:cs="仿宋_GB2312" w:hint="eastAsia"/>
          <w:color w:val="auto"/>
          <w:sz w:val="32"/>
          <w:highlight w:val="none"/>
        </w:rPr>
        <w:t xml:space="preserve">预算安排、政策调整、改进管理实质性挂钩，体现奖优罚劣和激励导向，有效要安排、低效要压减、无效要问责。</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（4）公开透明。绩效评价结果应依法依规公开，并自觉接受社会监督。</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bCs/>
          <w:color w:val="auto"/>
          <w:sz w:val="32"/>
          <w:highlight w:val="none"/>
        </w:rPr>
      </w:pPr>
      <w:r>
        <w:rPr>
          <w:rFonts w:ascii="仿宋_GB2312" w:hAnsi="仿宋_GB2312" w:cs="仿宋_GB2312" w:hint="eastAsia"/>
          <w:b/>
          <w:bCs/>
          <w:color w:val="auto"/>
          <w:sz w:val="32"/>
          <w:highlight w:val="none"/>
        </w:rPr>
        <w:t xml:space="preserve">2．绩效评价指标体系</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在对202</w:t>
      </w:r>
      <w:r>
        <w:rPr>
          <w:rFonts w:ascii="仿宋_GB2312" w:hAnsi="仿宋_GB2312" w:cs="仿宋_GB2312"/>
          <w:color w:val="auto"/>
          <w:sz w:val="32"/>
          <w:highlight w:val="none"/>
        </w:rPr>
        <w:t xml:space="preserve">4</w:t>
      </w:r>
      <w:r>
        <w:rPr>
          <w:rFonts w:ascii="仿宋_GB2312" w:hAnsi="仿宋_GB2312" w:cs="仿宋_GB2312" w:hint="eastAsia"/>
          <w:color w:val="auto"/>
          <w:sz w:val="32"/>
          <w:highlight w:val="none"/>
        </w:rPr>
        <w:t xml:space="preserve">年</w:t>
      </w:r>
      <w:r>
        <w:rPr>
          <w:rFonts w:ascii="仿宋_GB2312" w:hAnsi="仿宋_GB2312" w:cs="仿宋_GB2312" w:hint="eastAsia"/>
          <w:color w:val="auto"/>
          <w:sz w:val="32"/>
          <w:highlight w:val="none"/>
          <w:lang w:eastAsia="zh-CN"/>
        </w:rPr>
        <w:t xml:space="preserve">软件服务及链路费项目</w:t>
      </w:r>
      <w:r>
        <w:rPr>
          <w:rFonts w:ascii="仿宋_GB2312" w:hAnsi="仿宋_GB2312" w:cs="仿宋_GB2312" w:hint="eastAsia"/>
          <w:color w:val="auto"/>
          <w:sz w:val="32"/>
          <w:highlight w:val="none"/>
        </w:rPr>
        <w:t xml:space="preserve">的深入调研基础上，按照《项目支出绩效评价管理办法》（财预〔2021〕10号）对于指标体系的要求和规范，建立一套适合评价</w:t>
      </w:r>
      <w:r>
        <w:rPr>
          <w:rFonts w:ascii="仿宋_GB2312" w:hAnsi="仿宋_GB2312" w:cs="仿宋_GB2312" w:hint="eastAsia"/>
          <w:color w:val="auto"/>
          <w:sz w:val="32"/>
          <w:highlight w:val="none"/>
          <w:lang w:eastAsia="zh-CN"/>
        </w:rPr>
        <w:t xml:space="preserve">软件服务及链路费项目</w:t>
      </w:r>
      <w:r>
        <w:rPr>
          <w:rFonts w:ascii="仿宋_GB2312" w:hAnsi="仿宋_GB2312" w:cs="仿宋_GB2312" w:hint="eastAsia"/>
          <w:color w:val="auto"/>
          <w:sz w:val="32"/>
          <w:highlight w:val="none"/>
        </w:rPr>
        <w:t xml:space="preserve">的指标体系，从项目决策、项目过程、项目产出和项目绩效四个维度全面考察</w:t>
      </w:r>
      <w:r>
        <w:rPr>
          <w:rFonts w:ascii="仿宋_GB2312" w:hAnsi="仿宋_GB2312" w:cs="仿宋_GB2312" w:hint="eastAsia"/>
          <w:color w:val="auto"/>
          <w:sz w:val="32"/>
          <w:highlight w:val="none"/>
          <w:lang w:eastAsia="zh-CN"/>
        </w:rPr>
        <w:t xml:space="preserve">软件服务及链路费项目</w:t>
      </w:r>
      <w:r>
        <w:rPr>
          <w:rFonts w:ascii="仿宋_GB2312" w:hAnsi="仿宋_GB2312" w:cs="仿宋_GB2312" w:hint="eastAsia"/>
          <w:color w:val="auto"/>
          <w:sz w:val="32"/>
          <w:highlight w:val="none"/>
        </w:rPr>
        <w:t xml:space="preserve">资金的效益，并重点对于项目的产出和绩效进行总体分析，以达到通过指标体系的科学评价反思管理及决策问题的目标。（见附件1）</w:t>
      </w:r>
    </w:p>
    <w:p>
      <w:pPr>
        <w:numPr>
          <w:ilvl w:val="0"/>
          <w:numId w:val="3"/>
        </w:num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 w:hint="eastAsia"/>
          <w:color w:val="auto"/>
          <w:sz w:val="32"/>
          <w:szCs w:val="32"/>
          <w:highlight w:val="none"/>
        </w:rPr>
      </w:pPr>
      <w:r>
        <w:rPr>
          <w:rFonts w:ascii="仿宋_GB2312" w:hAnsi="仿宋_GB2312" w:cs="仿宋_GB2312" w:hint="eastAsia"/>
          <w:b/>
          <w:bCs/>
          <w:color w:val="auto"/>
          <w:sz w:val="32"/>
          <w:highlight w:val="none"/>
        </w:rPr>
        <w:t xml:space="preserve">绩效评价方法</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三级指标分析环节：总体采用比较法，同时辅以文献法、成本效益法、因素分析法以及公众评判法，根据不同三级指标类型进行逐项分析。</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②定性指标分析环节：主要采用公众评判法，通过问卷及抽样调查等方式评价本项目实施后社会公众对于其实施效果的满意程度，将调研结果按照《项目支出绩效评价管理办法》（财预〔2020〕10号）与《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立项依据充分性：比较法、文献法，查找法律法规政策以及规划，对比实际执行内容和政策支持内容是否匹配。</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立项程序规范性：比较法、文献法，查找相关项目设立的政策和文件要求，对比分析实际执行程序是否按照政策及文件要求执行，分析立项程序的规范性。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绩效目标合理性：比较法，对比分析年初编制项目支出绩效目标表与项目内容的相关性、资金的匹配性等。</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绩效指标明确性：比较法，比较分析年初编制项目支出绩效目标表是否符合双七原则，是否可衡量。</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预算编制科学性</w:t>
      </w:r>
      <w:r>
        <w:rPr>
          <w:rFonts w:ascii="仿宋_GB2312" w:hAnsi="仿宋_GB2312" w:cs="仿宋_GB2312" w:hint="eastAsia"/>
          <w:color w:val="auto"/>
          <w:sz w:val="32"/>
          <w:highlight w:val="none"/>
        </w:rPr>
        <w:tab/>
      </w:r>
      <w:r>
        <w:rPr>
          <w:rFonts w:ascii="仿宋_GB2312" w:hAnsi="仿宋_GB2312" w:cs="仿宋_GB2312" w:hint="eastAsia"/>
          <w:color w:val="auto"/>
          <w:sz w:val="32"/>
          <w:highlight w:val="none"/>
        </w:rPr>
        <w:t xml:space="preserve">成本效益分析法</w:t>
      </w:r>
      <w:r>
        <w:rPr>
          <w:rFonts w:ascii="仿宋_GB2312" w:hAnsi="仿宋_GB2312" w:cs="仿宋_GB2312" w:hint="eastAsia"/>
          <w:color w:val="auto"/>
          <w:sz w:val="32"/>
          <w:highlight w:val="none"/>
        </w:rPr>
        <w:tab/>
      </w:r>
      <w:r>
        <w:rPr>
          <w:rFonts w:ascii="仿宋_GB2312" w:hAnsi="仿宋_GB2312" w:cs="仿宋_GB2312" w:hint="eastAsia"/>
          <w:color w:val="auto"/>
          <w:sz w:val="32"/>
          <w:highlight w:val="none"/>
        </w:rPr>
        <w:t xml:space="preserve">分析在产出一定的情况下，成本取值是否有依据，是否经过询价，是否按照市场最低成本编制。</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资金分配合理性：因素分析法，综合分析资金的分配依据是否充分，分配金额是否与项目实施单位需求金额一致，</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资金到位率：比较法，资金到位率预期指标值应为100%，通过实际计算，分析实际完成值和预期指标值之间的差距和原因。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预算执行率：比较法，预算执行率预期指标值应为100%，通过实际计算，分析实际完成值和预期指标值之间的差距和原因。</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资金使用合规性：文献法、实地勘察法，一是查找资金管理办法，包括专项资金管理办法和单位自有资金管理办法；二是通过查账了解具体开支情况，是否专款专用，是否按照标准支出。</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管理制度健全性：文献法、比较法，查阅项目实施人员提供的财务和业务管理制度，将已建立的制度与现行的法律法规和政策要求进行对比，分析项目制度的合法性、合规性、完整性。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制度执行有效性：比较法，结合项目实际实施过程性文件，根据已建设的财务管理制度和项目管理制度综合分析制度执行的有效性。</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定性指标：公众评判法，通过问卷及抽样调查等方式评价本项目实施后社会公众对于其实施效果的满意程度。</w:t>
      </w:r>
    </w:p>
    <w:p>
      <w:pPr>
        <w:numPr>
          <w:ilvl w:val="0"/>
          <w:numId w:val="3"/>
        </w:num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b/>
          <w:color w:val="auto"/>
          <w:sz w:val="32"/>
          <w:szCs w:val="32"/>
          <w:highlight w:val="none"/>
        </w:rPr>
      </w:pPr>
      <w:r>
        <w:rPr>
          <w:rFonts w:ascii="仿宋_GB2312" w:hAnsi="仿宋_GB2312" w:cs="仿宋_GB2312" w:hint="eastAsia"/>
          <w:b/>
          <w:color w:val="auto"/>
          <w:sz w:val="32"/>
          <w:szCs w:val="32"/>
          <w:highlight w:val="none"/>
        </w:rPr>
        <w:t xml:space="preserve">绩效评价标准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rPr>
        <w:t xml:space="preserve">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仿宋_GB2312" w:hAnsi="仿宋_GB2312" w:cs="仿宋_GB2312" w:hint="eastAsia"/>
          <w:color w:val="auto"/>
          <w:sz w:val="32"/>
          <w:highlight w:val="none"/>
        </w:rPr>
      </w:pPr>
      <w:r>
        <w:rPr>
          <w:rFonts w:ascii="仿宋_GB2312" w:hAnsi="仿宋_GB2312" w:cs="仿宋_GB2312" w:hint="eastAsia"/>
          <w:color w:val="auto"/>
          <w:sz w:val="32"/>
          <w:highlight w:val="none"/>
          <w:lang w:eastAsia="zh-CN"/>
        </w:rPr>
        <w:t xml:space="preserve">软件服务及链路费项目</w:t>
      </w:r>
      <w:r>
        <w:rPr>
          <w:rFonts w:ascii="仿宋_GB2312" w:hAnsi="仿宋_GB2312" w:cs="仿宋_GB2312" w:hint="eastAsia"/>
          <w:color w:val="auto"/>
          <w:sz w:val="32"/>
          <w:highlight w:val="none"/>
        </w:rPr>
        <w:t xml:space="preserve">属于</w:t>
      </w:r>
      <w:r>
        <w:rPr>
          <w:rFonts w:ascii="仿宋_GB2312" w:hAnsi="仿宋_GB2312" w:cs="仿宋_GB2312" w:hint="eastAsia"/>
          <w:color w:val="auto"/>
          <w:sz w:val="32"/>
          <w:highlight w:val="none"/>
          <w:lang w:val="en-US" w:eastAsia="zh-CN"/>
        </w:rPr>
        <w:t xml:space="preserve">业务</w:t>
      </w:r>
      <w:r>
        <w:rPr>
          <w:rFonts w:ascii="仿宋_GB2312" w:hAnsi="仿宋_GB2312" w:cs="仿宋_GB2312" w:hint="eastAsia"/>
          <w:color w:val="auto"/>
          <w:sz w:val="32"/>
          <w:highlight w:val="none"/>
        </w:rPr>
        <w:t xml:space="preserve">类项目，</w:t>
      </w:r>
      <w:r>
        <w:rPr>
          <w:rFonts w:ascii="仿宋_GB2312" w:hAnsi="仿宋_GB2312" w:cs="仿宋_GB2312" w:hint="eastAsia"/>
          <w:bCs/>
          <w:color w:val="auto"/>
          <w:sz w:val="32"/>
          <w:highlight w:val="none"/>
        </w:rPr>
        <w:t xml:space="preserve">有</w:t>
      </w:r>
      <w:r>
        <w:rPr>
          <w:rFonts w:ascii="仿宋_GB2312" w:hAnsi="仿宋_GB2312" w:cs="仿宋_GB2312" w:hint="eastAsia"/>
          <w:color w:val="auto"/>
          <w:sz w:val="32"/>
          <w:highlight w:val="none"/>
        </w:rPr>
        <w:t xml:space="preserve">相应的行业标准和历史标准，故采用</w:t>
      </w:r>
      <w:r>
        <w:rPr>
          <w:rFonts w:ascii="仿宋_GB2312" w:hint="eastAsia"/>
          <w:color w:val="auto"/>
          <w:sz w:val="32"/>
          <w:highlight w:val="none"/>
        </w:rPr>
        <w:t xml:space="preserve">计划标准、行业标准、历史标准</w:t>
      </w:r>
      <w:r>
        <w:rPr>
          <w:rFonts w:ascii="仿宋_GB2312" w:hAnsi="仿宋_GB2312" w:cs="仿宋_GB2312" w:hint="eastAsia"/>
          <w:color w:val="auto"/>
          <w:sz w:val="32"/>
          <w:highlight w:val="none"/>
        </w:rPr>
        <w:t xml:space="preserve">评价该项目。</w:t>
      </w:r>
    </w:p>
    <w:p>
      <w:pPr>
        <w:pBdr>
          <w:top w:val="none" w:sz="0" w:space="0" w:color="auto"/>
          <w:left w:val="none" w:sz="0" w:space="0" w:color="auto"/>
          <w:bottom w:val="none" w:sz="0" w:space="31" w:color="auto"/>
          <w:right w:val="none" w:sz="0" w:space="2" w:color="auto"/>
        </w:pBdr>
        <w:autoSpaceDN w:val="0"/>
        <w:adjustRightInd w:val="0"/>
        <w:spacing w:line="560" w:lineRule="exact"/>
        <w:ind w:firstLine="640" w:firstLineChars="200"/>
        <w:contextualSpacing/>
        <w:rPr>
          <w:rFonts w:ascii="楷体" w:eastAsia="楷体" w:hAnsi="楷体" w:cs="仿宋_GB2312" w:hint="eastAsia"/>
          <w:b/>
          <w:bCs/>
          <w:color w:val="auto"/>
          <w:sz w:val="32"/>
          <w:highlight w:val="none"/>
        </w:rPr>
      </w:pPr>
      <w:r>
        <w:rPr>
          <w:rFonts w:ascii="楷体" w:eastAsia="楷体" w:hAnsi="楷体" w:cs="仿宋_GB2312" w:hint="eastAsia"/>
          <w:b/>
          <w:bCs/>
          <w:color w:val="auto"/>
          <w:sz w:val="32"/>
          <w:highlight w:val="none"/>
        </w:rPr>
        <w:t xml:space="preserve">（三）绩效评价工作过程。</w:t>
      </w:r>
    </w:p>
    <w:p>
      <w:pPr>
        <w:pBdr>
          <w:top w:val="none" w:sz="0" w:space="0" w:color="auto"/>
          <w:left w:val="none" w:sz="0" w:space="0" w:color="auto"/>
          <w:bottom w:val="none" w:sz="0" w:space="31" w:color="auto"/>
          <w:right w:val="none" w:sz="0" w:space="2" w:color="auto"/>
        </w:pBdr>
        <w:autoSpaceDN w:val="0"/>
        <w:adjustRightInd w:val="0"/>
        <w:spacing w:line="560" w:lineRule="exact"/>
        <w:ind w:left="600" w:leftChars="200"/>
        <w:contextualSpacing/>
        <w:rPr>
          <w:rFonts w:ascii="仿宋_GB2312" w:hAnsi="仿宋_GB2312" w:cs="仿宋_GB2312" w:hint="eastAsia"/>
          <w:b/>
          <w:color w:val="auto"/>
          <w:sz w:val="32"/>
          <w:highlight w:val="none"/>
        </w:rPr>
      </w:pPr>
      <w:r>
        <w:rPr>
          <w:rFonts w:ascii="仿宋_GB2312" w:hAnsi="仿宋_GB2312" w:cs="仿宋_GB2312" w:hint="eastAsia"/>
          <w:b/>
          <w:color w:val="auto"/>
          <w:sz w:val="32"/>
          <w:highlight w:val="none"/>
        </w:rPr>
        <w:t xml:space="preserve">1．前期准备</w:t>
      </w:r>
    </w:p>
    <w:p>
      <w:pPr>
        <w:pStyle w:val="标题2"/>
        <w:keepNext w:val="0"/>
        <w:keepLines w:val="0"/>
        <w:numPr>
          <w:ilvl w:val="0"/>
          <w:numId w:val="0"/>
        </w:numPr>
        <w:spacing w:before="0" w:after="0" w:line="560" w:lineRule="exact"/>
        <w:ind w:firstLine="640" w:firstLineChars="200"/>
        <w:outlineLvl w:val="9"/>
        <w:rPr>
          <w:b w:val="0"/>
          <w:bCs w:val="0"/>
          <w:color w:val="auto"/>
          <w:highlight w:val="none"/>
        </w:rPr>
      </w:pPr>
      <w:r>
        <w:rPr>
          <w:rFonts w:hint="eastAsia"/>
          <w:b w:val="0"/>
          <w:bCs w:val="0"/>
          <w:color w:val="auto"/>
          <w:highlight w:val="none"/>
        </w:rPr>
        <w:t xml:space="preserve">本次评价成立了评价工作组，成员如下：</w:t>
      </w:r>
    </w:p>
    <w:tbl>
      <w:tblPr>
        <w:tblStyle w:val="NormalTable"/>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2568"/>
        <w:gridCol w:w="1827"/>
        <w:gridCol w:w="390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97"/>
          <w:jc w:val="center"/>
        </w:trPr>
        <w:tc>
          <w:tcPr>
            <w:tcW w:w="2568"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评价人</w:t>
            </w:r>
          </w:p>
        </w:tc>
        <w:tc>
          <w:tcPr>
            <w:tcW w:w="1827"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职务</w:t>
            </w:r>
          </w:p>
        </w:tc>
        <w:tc>
          <w:tcPr>
            <w:tcW w:w="3901"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职责</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乔虹</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评价组组长</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组织安排绩效评价工作</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刘志军</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评价组成员</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资料整理及信息汇总工作</w:t>
            </w:r>
          </w:p>
        </w:tc>
      </w:tr>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2568" w:type="dxa"/>
            <w:noWrap w:val="0"/>
            <w:vAlign w:val="center"/>
          </w:tcPr>
          <w:p>
            <w:pPr>
              <w:pStyle w:val="标题2"/>
              <w:keepNext w:val="0"/>
              <w:keepLines w:val="0"/>
              <w:numPr>
                <w:ilvl w:val="0"/>
                <w:numId w:val="0"/>
              </w:numPr>
              <w:spacing w:line="560" w:lineRule="exact"/>
              <w:jc w:val="center"/>
              <w:rPr>
                <w:rFonts w:hint="eastAsia"/>
                <w:b w:val="0"/>
                <w:bCs w:val="0"/>
                <w:color w:val="auto"/>
                <w:highlight w:val="none"/>
              </w:rPr>
            </w:pPr>
            <w:r>
              <w:rPr>
                <w:rFonts w:hint="eastAsia"/>
                <w:b w:val="0"/>
                <w:bCs w:val="0"/>
                <w:color w:val="auto"/>
                <w:highlight w:val="none"/>
              </w:rPr>
              <w:t xml:space="preserve">陈玉</w:t>
            </w:r>
          </w:p>
        </w:tc>
        <w:tc>
          <w:tcPr>
            <w:tcW w:w="1827"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评价组成员</w:t>
            </w:r>
          </w:p>
        </w:tc>
        <w:tc>
          <w:tcPr>
            <w:tcW w:w="3901" w:type="dxa"/>
            <w:noWrap w:val="0"/>
            <w:vAlign w:val="center"/>
          </w:tcPr>
          <w:p>
            <w:pPr>
              <w:pStyle w:val="标题2"/>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 xml:space="preserve">出具项目绩效评价报告</w:t>
            </w:r>
          </w:p>
        </w:tc>
      </w:tr>
    </w:tbl>
    <w:p>
      <w:pPr>
        <w:pStyle w:val="Bodytext|1"/>
        <w:tabs>
          <w:tab w:val="left" w:pos="1123"/>
        </w:tabs>
        <w:spacing w:line="560" w:lineRule="exact"/>
        <w:ind w:firstLine="640"/>
        <w:rPr>
          <w:rFonts w:ascii="仿宋_GB2312" w:eastAsia="仿宋_GB2312" w:hAnsi="仿宋_GB2312" w:cs="仿宋_GB2312" w:hint="eastAsia"/>
          <w:color w:val="auto"/>
          <w:sz w:val="32"/>
          <w:szCs w:val="24"/>
          <w:highlight w:val="none"/>
          <w:lang w:val="en-US" w:eastAsia="zh-CN" w:bidi="ar-SA"/>
        </w:rPr>
      </w:pPr>
      <w:r>
        <w:rPr>
          <w:rFonts w:ascii="仿宋_GB2312" w:eastAsia="仿宋_GB2312" w:hAnsi="仿宋_GB2312" w:cs="仿宋_GB2312" w:hint="eastAsia"/>
          <w:color w:val="auto"/>
          <w:sz w:val="32"/>
          <w:szCs w:val="24"/>
          <w:highlight w:val="none"/>
          <w:lang w:val="en-US" w:eastAsia="zh-CN" w:bidi="ar-SA"/>
        </w:rPr>
        <w:t xml:space="preserve">2025年3月20日开始前期准备工作。评价组通过对评价对象前期调研，确定了评价的目的、方法以及评价的原则，根据软件服务及链路费项目的内容和特征制定了评价指标体系及评价标准以及评价实施方案，修正并确定所需资料清单，最终确定实施方案。</w:t>
      </w:r>
    </w:p>
    <w:p>
      <w:pPr>
        <w:pStyle w:val="Bodytext|1"/>
        <w:tabs>
          <w:tab w:val="left" w:pos="1123"/>
        </w:tabs>
        <w:spacing w:line="560" w:lineRule="exact"/>
        <w:ind w:firstLine="640"/>
        <w:rPr>
          <w:rFonts w:ascii="仿宋_GB2312" w:eastAsia="仿宋_GB2312" w:hAnsi="仿宋_GB2312" w:cs="仿宋_GB2312" w:hint="eastAsia"/>
          <w:b/>
          <w:color w:val="auto"/>
          <w:sz w:val="32"/>
          <w:szCs w:val="24"/>
          <w:highlight w:val="none"/>
          <w:lang w:val="en-US" w:eastAsia="zh-CN" w:bidi="ar-SA"/>
        </w:rPr>
      </w:pPr>
      <w:r>
        <w:rPr>
          <w:rFonts w:ascii="仿宋_GB2312" w:eastAsia="仿宋_GB2312" w:hAnsi="仿宋_GB2312" w:cs="仿宋_GB2312" w:hint="eastAsia"/>
          <w:b/>
          <w:color w:val="auto"/>
          <w:sz w:val="32"/>
          <w:szCs w:val="24"/>
          <w:highlight w:val="none"/>
          <w:lang w:val="en-US" w:eastAsia="zh-CN" w:bidi="ar-SA"/>
        </w:rPr>
        <w:t xml:space="preserve">2．组织实施</w:t>
      </w:r>
    </w:p>
    <w:p>
      <w:pPr>
        <w:pStyle w:val="Bodytext|1"/>
        <w:tabs>
          <w:tab w:val="left" w:pos="1123"/>
        </w:tabs>
        <w:spacing w:line="560" w:lineRule="exact"/>
        <w:ind w:firstLine="640"/>
        <w:rPr>
          <w:rFonts w:ascii="仿宋_GB2312" w:eastAsia="仿宋_GB2312" w:hAnsi="仿宋_GB2312" w:cs="仿宋_GB2312" w:hint="eastAsia"/>
          <w:color w:val="auto"/>
          <w:sz w:val="32"/>
          <w:szCs w:val="24"/>
          <w:highlight w:val="none"/>
          <w:lang w:val="en-US" w:eastAsia="zh-CN" w:bidi="ar-SA"/>
        </w:rPr>
      </w:pPr>
      <w:r>
        <w:rPr>
          <w:rFonts w:ascii="仿宋_GB2312" w:eastAsia="仿宋_GB2312" w:hAnsi="仿宋_GB2312" w:cs="仿宋_GB2312" w:hint="eastAsia"/>
          <w:color w:val="auto"/>
          <w:sz w:val="32"/>
          <w:szCs w:val="24"/>
          <w:highlight w:val="none"/>
          <w:lang w:val="en-US" w:eastAsia="zh-CN" w:bidi="ar-SA"/>
        </w:rPr>
        <w:t xml:space="preserve">202</w:t>
      </w:r>
      <w:r>
        <w:rPr>
          <w:rFonts w:ascii="仿宋_GB2312" w:eastAsia="仿宋_GB2312" w:hAnsi="仿宋_GB2312" w:cs="仿宋_GB2312"/>
          <w:color w:val="auto"/>
          <w:sz w:val="32"/>
          <w:szCs w:val="24"/>
          <w:highlight w:val="none"/>
          <w:lang w:val="en-US" w:eastAsia="zh-CN" w:bidi="ar-SA"/>
        </w:rPr>
        <w:t xml:space="preserve">5</w:t>
      </w:r>
      <w:r>
        <w:rPr>
          <w:rFonts w:ascii="仿宋_GB2312" w:eastAsia="仿宋_GB2312" w:hAnsi="仿宋_GB2312" w:cs="仿宋_GB2312" w:hint="eastAsia"/>
          <w:color w:val="auto"/>
          <w:sz w:val="32"/>
          <w:szCs w:val="24"/>
          <w:highlight w:val="none"/>
          <w:lang w:val="en-US" w:eastAsia="zh-CN" w:bidi="ar-SA"/>
        </w:rPr>
        <w:t xml:space="preserve">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Bodytext|1"/>
        <w:tabs>
          <w:tab w:val="left" w:pos="1123"/>
        </w:tabs>
        <w:spacing w:line="560" w:lineRule="exact"/>
        <w:ind w:firstLine="640"/>
        <w:rPr>
          <w:rFonts w:ascii="仿宋_GB2312" w:eastAsia="仿宋_GB2312" w:hAnsi="仿宋_GB2312" w:cs="仿宋_GB2312" w:hint="eastAsia"/>
          <w:b/>
          <w:color w:val="auto"/>
          <w:sz w:val="32"/>
          <w:szCs w:val="32"/>
          <w:highlight w:val="none"/>
          <w:lang w:val="en-US" w:eastAsia="zh-CN" w:bidi="ar-SA"/>
        </w:rPr>
      </w:pPr>
      <w:r>
        <w:rPr>
          <w:rFonts w:ascii="仿宋_GB2312" w:eastAsia="仿宋_GB2312" w:hAnsi="仿宋_GB2312" w:cs="仿宋_GB2312" w:hint="eastAsia"/>
          <w:b/>
          <w:color w:val="auto"/>
          <w:sz w:val="32"/>
          <w:szCs w:val="32"/>
          <w:highlight w:val="none"/>
          <w:lang w:val="en-US" w:eastAsia="zh-CN" w:bidi="ar-SA"/>
        </w:rPr>
        <w:t xml:space="preserve">3．分析评价</w:t>
      </w:r>
    </w:p>
    <w:p>
      <w:pPr>
        <w:pStyle w:val="Bodytext|1"/>
        <w:tabs>
          <w:tab w:val="left" w:pos="1123"/>
        </w:tabs>
        <w:spacing w:line="560" w:lineRule="exact"/>
        <w:ind w:firstLine="640"/>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202</w:t>
      </w:r>
      <w:r>
        <w:rPr>
          <w:rFonts w:ascii="仿宋_GB2312" w:eastAsia="仿宋_GB2312" w:hAnsi="仿宋_GB2312" w:cs="仿宋_GB2312"/>
          <w:color w:val="auto"/>
          <w:sz w:val="32"/>
          <w:szCs w:val="32"/>
          <w:highlight w:val="none"/>
          <w:lang w:val="en-US" w:eastAsia="zh-CN" w:bidi="ar-SA"/>
        </w:rPr>
        <w:t xml:space="preserve">5</w:t>
      </w:r>
      <w:r>
        <w:rPr>
          <w:rFonts w:ascii="仿宋_GB2312" w:eastAsia="仿宋_GB2312" w:hAnsi="仿宋_GB2312" w:cs="仿宋_GB2312" w:hint="eastAsia"/>
          <w:color w:val="auto"/>
          <w:sz w:val="32"/>
          <w:szCs w:val="32"/>
          <w:highlight w:val="none"/>
          <w:lang w:val="en-US" w:eastAsia="zh-CN" w:bidi="ar-SA"/>
        </w:rPr>
        <w:t xml:space="preserve">年</w:t>
      </w:r>
      <w:r>
        <w:rPr>
          <w:rFonts w:ascii="仿宋_GB2312" w:eastAsia="仿宋_GB2312" w:hAnsi="仿宋_GB2312" w:cs="仿宋_GB2312" w:hint="eastAsia"/>
          <w:color w:val="auto"/>
          <w:sz w:val="32"/>
          <w:szCs w:val="24"/>
          <w:highlight w:val="none"/>
          <w:lang w:val="en-US" w:eastAsia="zh-CN" w:bidi="ar-SA"/>
        </w:rPr>
        <w:t xml:space="preserve">4</w:t>
      </w:r>
      <w:r>
        <w:rPr>
          <w:rFonts w:ascii="仿宋_GB2312" w:eastAsia="仿宋_GB2312" w:hAnsi="仿宋_GB2312" w:cs="仿宋_GB2312" w:hint="eastAsia"/>
          <w:color w:val="auto"/>
          <w:sz w:val="32"/>
          <w:szCs w:val="32"/>
          <w:highlight w:val="none"/>
          <w:lang w:val="en-US" w:eastAsia="zh-CN" w:bidi="ar-SA"/>
        </w:rPr>
        <w:t xml:space="preserve">月</w:t>
      </w:r>
      <w:r>
        <w:rPr>
          <w:rFonts w:ascii="仿宋_GB2312" w:eastAsia="仿宋_GB2312" w:hAnsi="仿宋_GB2312" w:cs="仿宋_GB2312" w:hint="eastAsia"/>
          <w:color w:val="auto"/>
          <w:sz w:val="32"/>
          <w:szCs w:val="24"/>
          <w:highlight w:val="none"/>
          <w:lang w:val="en-US" w:eastAsia="zh-CN" w:bidi="ar-SA"/>
        </w:rPr>
        <w:t xml:space="preserve">21</w:t>
      </w:r>
      <w:r>
        <w:rPr>
          <w:rFonts w:ascii="仿宋_GB2312" w:eastAsia="仿宋_GB2312" w:hAnsi="仿宋_GB2312" w:cs="仿宋_GB2312" w:hint="eastAsia"/>
          <w:color w:val="auto"/>
          <w:sz w:val="32"/>
          <w:szCs w:val="32"/>
          <w:highlight w:val="none"/>
          <w:lang w:val="en-US" w:eastAsia="zh-CN" w:bidi="ar-SA"/>
        </w:rPr>
        <w:t xml:space="preserve">日-</w:t>
      </w:r>
      <w:r>
        <w:rPr>
          <w:rFonts w:ascii="仿宋_GB2312" w:eastAsia="仿宋_GB2312" w:hAnsi="仿宋_GB2312" w:cs="仿宋_GB2312" w:hint="eastAsia"/>
          <w:color w:val="auto"/>
          <w:sz w:val="32"/>
          <w:szCs w:val="24"/>
          <w:highlight w:val="none"/>
          <w:lang w:val="en-US" w:eastAsia="zh-CN" w:bidi="ar-SA"/>
        </w:rPr>
        <w:t xml:space="preserve">5</w:t>
      </w:r>
      <w:r>
        <w:rPr>
          <w:rFonts w:ascii="仿宋_GB2312" w:eastAsia="仿宋_GB2312" w:hAnsi="仿宋_GB2312" w:cs="仿宋_GB2312" w:hint="eastAsia"/>
          <w:color w:val="auto"/>
          <w:sz w:val="32"/>
          <w:szCs w:val="32"/>
          <w:highlight w:val="none"/>
          <w:lang w:val="en-US" w:eastAsia="zh-CN" w:bidi="ar-SA"/>
        </w:rPr>
        <w:t xml:space="preserve">月20日，评价组按照绩效评价的原则和规范，对取得的资料进行审查核实，对采集的数据进行分析，按照绩效评价指标评分表逐项进行打分、分析，汇总各方评价结果，综合分析并形成评价结论。</w:t>
      </w:r>
    </w:p>
    <w:p>
      <w:pPr>
        <w:pStyle w:val="Bodytext|1"/>
        <w:tabs>
          <w:tab w:val="left" w:pos="1123"/>
        </w:tabs>
        <w:spacing w:line="560" w:lineRule="exact"/>
        <w:ind w:firstLine="640"/>
        <w:rPr>
          <w:rFonts w:ascii="黑体" w:eastAsia="黑体" w:hAnsi="黑体" w:cs="仿宋_GB2312" w:hint="eastAsia"/>
          <w:color w:val="auto"/>
          <w:sz w:val="32"/>
          <w:szCs w:val="32"/>
          <w:highlight w:val="none"/>
          <w:lang w:val="en-US" w:eastAsia="zh-CN" w:bidi="ar-SA"/>
        </w:rPr>
      </w:pPr>
      <w:r>
        <w:rPr>
          <w:rFonts w:ascii="黑体" w:eastAsia="黑体" w:hAnsi="黑体" w:cs="仿宋_GB2312" w:hint="eastAsia"/>
          <w:color w:val="auto"/>
          <w:sz w:val="32"/>
          <w:szCs w:val="32"/>
          <w:highlight w:val="none"/>
          <w:lang w:val="en-US" w:eastAsia="zh-CN" w:bidi="ar-SA"/>
        </w:rPr>
        <w:t xml:space="preserve">三、综合评价情况及评价结论</w:t>
      </w:r>
    </w:p>
    <w:p>
      <w:pPr>
        <w:pStyle w:val="Bodytext|1"/>
        <w:tabs>
          <w:tab w:val="left" w:pos="1123"/>
        </w:tabs>
        <w:spacing w:line="560" w:lineRule="exact"/>
        <w:ind w:firstLine="640"/>
        <w:rPr>
          <w:rFonts w:ascii="楷体" w:eastAsia="楷体" w:hAnsi="楷体" w:cs="仿宋_GB2312" w:hint="eastAsia"/>
          <w:b/>
          <w:bCs/>
          <w:color w:val="auto"/>
          <w:sz w:val="32"/>
          <w:szCs w:val="32"/>
          <w:highlight w:val="none"/>
          <w:lang w:val="en-US" w:eastAsia="zh-CN" w:bidi="ar-SA"/>
        </w:rPr>
      </w:pPr>
      <w:r>
        <w:rPr>
          <w:rFonts w:ascii="楷体" w:eastAsia="楷体" w:hAnsi="楷体" w:cs="仿宋_GB2312" w:hint="eastAsia"/>
          <w:b/>
          <w:bCs/>
          <w:color w:val="auto"/>
          <w:sz w:val="32"/>
          <w:szCs w:val="32"/>
          <w:highlight w:val="none"/>
          <w:lang w:val="en-US" w:eastAsia="zh-CN" w:bidi="ar-SA"/>
        </w:rPr>
        <w:t xml:space="preserve">（一）综合评价情况</w:t>
      </w:r>
    </w:p>
    <w:p>
      <w:pPr>
        <w:pStyle w:val="Bodytext|1"/>
        <w:tabs>
          <w:tab w:val="left" w:pos="1123"/>
        </w:tabs>
        <w:spacing w:line="560" w:lineRule="exact"/>
        <w:ind w:firstLine="640"/>
        <w:rPr>
          <w:rFonts w:ascii="仿宋_GB2312" w:eastAsia="仿宋_GB2312" w:hAnsi="Cambria" w:hint="eastAsia"/>
          <w:color w:val="auto"/>
          <w:sz w:val="32"/>
          <w:szCs w:val="32"/>
          <w:highlight w:val="none"/>
          <w:lang w:eastAsia="zh-CN"/>
        </w:rPr>
      </w:pPr>
      <w:r>
        <w:rPr>
          <w:rFonts w:ascii="仿宋_GB2312" w:eastAsia="仿宋_GB2312" w:hAnsi="仿宋_GB2312" w:cs="仿宋_GB2312" w:hint="eastAsia"/>
          <w:color w:val="auto"/>
          <w:sz w:val="32"/>
          <w:szCs w:val="32"/>
          <w:highlight w:val="none"/>
          <w:lang w:val="en-US" w:eastAsia="zh-CN" w:bidi="ar-SA"/>
        </w:rPr>
        <w:t xml:space="preserve">本级绩效评价遵循科学规范、公开公正、绩效相关和问题导向的原则、重点评价项目的资金投入与财务管理</w:t>
      </w:r>
      <w:r>
        <w:rPr>
          <w:rFonts w:ascii="仿宋_GB2312" w:eastAsia="仿宋_GB2312" w:hAnsi="仿宋_GB2312" w:cs="仿宋_GB2312" w:hint="eastAsia"/>
          <w:color w:val="auto"/>
          <w:sz w:val="32"/>
          <w:szCs w:val="32"/>
          <w:highlight w:val="none"/>
        </w:rPr>
        <w:t xml:space="preserve">、</w:t>
      </w:r>
      <w:r>
        <w:rPr>
          <w:rFonts w:ascii="仿宋_GB2312" w:eastAsia="仿宋_GB2312" w:hAnsi="仿宋_GB2312" w:cs="仿宋_GB2312" w:hint="eastAsia"/>
          <w:color w:val="auto"/>
          <w:sz w:val="32"/>
          <w:szCs w:val="32"/>
          <w:highlight w:val="none"/>
          <w:lang w:val="en-US" w:eastAsia="zh-CN" w:bidi="ar-SA"/>
        </w:rPr>
        <w:t xml:space="preserve">组织管理、产出与效益效果。在此基础上，以相关的项目数据为基础，综合运用不同的评价方法，结合评价标准和评分规则，软件服务及链路费项目综合得分为89.95分，</w:t>
      </w:r>
      <w:r>
        <w:rPr>
          <w:rFonts w:ascii="仿宋_GB2312" w:eastAsia="仿宋_GB2312" w:hAnsi="Cambria" w:hint="eastAsia"/>
          <w:color w:val="auto"/>
          <w:sz w:val="32"/>
          <w:szCs w:val="32"/>
          <w:highlight w:val="none"/>
        </w:rPr>
        <w:t xml:space="preserve">评价结果为良。</w:t>
      </w:r>
    </w:p>
    <w:p>
      <w:pPr>
        <w:pStyle w:val="Bodytext|1"/>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b/>
          <w:color w:val="auto"/>
          <w:sz w:val="32"/>
          <w:szCs w:val="32"/>
          <w:highlight w:val="none"/>
          <w:lang w:val="zh-CN" w:eastAsia="zh-CN" w:bidi="ar-SA"/>
        </w:rPr>
        <w:t xml:space="preserve">202</w:t>
      </w:r>
      <w:r>
        <w:rPr>
          <w:rFonts w:ascii="仿宋_GB2312" w:eastAsia="仿宋_GB2312" w:hAnsi="仿宋_GB2312" w:cs="仿宋_GB2312"/>
          <w:b/>
          <w:color w:val="auto"/>
          <w:sz w:val="32"/>
          <w:szCs w:val="32"/>
          <w:highlight w:val="none"/>
          <w:lang w:val="en-US" w:eastAsia="zh-CN" w:bidi="ar-SA"/>
        </w:rPr>
        <w:t xml:space="preserve">4</w:t>
      </w:r>
      <w:r>
        <w:rPr>
          <w:rFonts w:ascii="仿宋_GB2312" w:eastAsia="仿宋_GB2312" w:hAnsi="仿宋_GB2312" w:cs="仿宋_GB2312" w:hint="eastAsia"/>
          <w:b/>
          <w:color w:val="auto"/>
          <w:sz w:val="32"/>
          <w:szCs w:val="32"/>
          <w:highlight w:val="none"/>
          <w:lang w:val="en-US" w:eastAsia="zh-CN" w:bidi="ar-SA"/>
        </w:rPr>
        <w:t xml:space="preserve">年软件服务及链路费项目评价得分情况</w:t>
      </w:r>
    </w:p>
    <w:tbl>
      <w:tblPr>
        <w:tblStyle w:val="NormalTable"/>
        <w:tblW w:w="9309" w:type="dxa"/>
        <w:jc w:val="center"/>
        <w:tblLayout w:type="fixed"/>
        <w:tblCellMar>
          <w:top w:w="0" w:type="dxa"/>
          <w:left w:w="10" w:type="dxa"/>
          <w:bottom w:w="0" w:type="dxa"/>
          <w:right w:w="10" w:type="dxa"/>
        </w:tblCellMar>
        <w:tblLook w:firstRow="0" w:lastRow="0" w:firstColumn="0" w:lastColumn="0" w:noHBand="1" w:noVBand="1"/>
      </w:tblPr>
      <w:tblGrid>
        <w:gridCol w:w="1447"/>
        <w:gridCol w:w="2045"/>
        <w:gridCol w:w="1951"/>
        <w:gridCol w:w="3866"/>
      </w:tblGrid>
      <w:tr>
        <w:tblPrEx>
          <w:tblW w:w="9309" w:type="dxa"/>
          <w:tblLayout w:type="fixed"/>
          <w:tblCellMar>
            <w:top w:w="0" w:type="dxa"/>
            <w:left w:w="10" w:type="dxa"/>
            <w:bottom w:w="0" w:type="dxa"/>
            <w:right w:w="10" w:type="dxa"/>
          </w:tblCellMar>
        </w:tblPrEx>
        <w:trPr>
          <w:trHeight w:hRule="exact" w:val="749"/>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指标类别</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分值</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评价得分</w:t>
            </w:r>
          </w:p>
        </w:tc>
        <w:tc>
          <w:tcPr>
            <w:tcW w:w="3866" w:type="dxa"/>
            <w:tcBorders>
              <w:top w:val="single" w:sz="4" w:space="0" w:color="auto"/>
              <w:left w:val="single" w:sz="4" w:space="0" w:color="auto"/>
              <w:righ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备注</w:t>
            </w:r>
          </w:p>
        </w:tc>
      </w:tr>
      <w:tr>
        <w:tblPrEx>
          <w:tblW w:w="9309" w:type="dxa"/>
          <w:tblLayout w:type="fixed"/>
          <w:tblCellMar>
            <w:top w:w="0" w:type="dxa"/>
            <w:left w:w="10" w:type="dxa"/>
            <w:bottom w:w="0" w:type="dxa"/>
            <w:right w:w="10" w:type="dxa"/>
          </w:tblCellMar>
        </w:tblPrEx>
        <w:trPr>
          <w:trHeight w:hRule="exact" w:val="824"/>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决策</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23</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23</w:t>
            </w:r>
          </w:p>
        </w:tc>
        <w:tc>
          <w:tcPr>
            <w:tcW w:w="3866" w:type="dxa"/>
            <w:tcBorders>
              <w:top w:val="single" w:sz="4" w:space="0" w:color="auto"/>
              <w:left w:val="single" w:sz="4" w:space="0" w:color="auto"/>
              <w:right w:val="single" w:sz="4" w:space="0" w:color="auto"/>
            </w:tcBorders>
            <w:shd w:val="clear" w:color="auto" w:fill="FFFFFF"/>
            <w:noWrap w:val="0"/>
            <w:vAlign w:val="top"/>
          </w:tcPr>
          <w:p>
            <w:pPr>
              <w:pStyle w:val="Other|1"/>
              <w:spacing w:line="560" w:lineRule="exact"/>
              <w:ind w:firstLine="0"/>
              <w:rPr>
                <w:rFonts w:ascii="仿宋_GB2312" w:eastAsia="仿宋_GB2312" w:hAnsi="仿宋_GB2312" w:cs="仿宋_GB2312" w:hint="eastAsia"/>
                <w:color w:val="auto"/>
                <w:sz w:val="32"/>
                <w:szCs w:val="32"/>
                <w:highlight w:val="none"/>
                <w:lang w:val="en-US" w:eastAsia="zh-CN" w:bidi="ar-SA"/>
              </w:rPr>
            </w:pPr>
          </w:p>
        </w:tc>
      </w:tr>
      <w:tr>
        <w:tblPrEx>
          <w:tblW w:w="9309" w:type="dxa"/>
          <w:tblLayout w:type="fixed"/>
          <w:tblCellMar>
            <w:top w:w="0" w:type="dxa"/>
            <w:left w:w="10" w:type="dxa"/>
            <w:bottom w:w="0" w:type="dxa"/>
            <w:right w:w="10" w:type="dxa"/>
          </w:tblCellMar>
        </w:tblPrEx>
        <w:trPr>
          <w:trHeight w:hRule="exact" w:val="835"/>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380"/>
              <w:jc w:val="left"/>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过程</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17</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13.95</w:t>
            </w:r>
          </w:p>
        </w:tc>
        <w:tc>
          <w:tcPr>
            <w:tcW w:w="3866" w:type="dxa"/>
            <w:tcBorders>
              <w:top w:val="single" w:sz="4" w:space="0" w:color="auto"/>
              <w:left w:val="single" w:sz="4" w:space="0" w:color="auto"/>
              <w:right w:val="single" w:sz="4" w:space="0" w:color="auto"/>
            </w:tcBorders>
            <w:shd w:val="clear" w:color="auto" w:fill="FFFFFF"/>
            <w:noWrap w:val="0"/>
            <w:vAlign w:val="bottom"/>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预算执行率扣3.05分</w:t>
            </w:r>
          </w:p>
        </w:tc>
      </w:tr>
      <w:tr>
        <w:tblPrEx>
          <w:tblW w:w="9309" w:type="dxa"/>
          <w:tblLayout w:type="fixed"/>
          <w:tblCellMar>
            <w:top w:w="0" w:type="dxa"/>
            <w:left w:w="10" w:type="dxa"/>
            <w:bottom w:w="0" w:type="dxa"/>
            <w:right w:w="10" w:type="dxa"/>
          </w:tblCellMar>
        </w:tblPrEx>
        <w:trPr>
          <w:trHeight w:hRule="exact" w:val="857"/>
          <w:jc w:val="center"/>
        </w:trPr>
        <w:tc>
          <w:tcPr>
            <w:tcW w:w="1447"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产出</w:t>
            </w:r>
          </w:p>
        </w:tc>
        <w:tc>
          <w:tcPr>
            <w:tcW w:w="2045"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1951" w:type="dxa"/>
            <w:tcBorders>
              <w:top w:val="single" w:sz="4" w:space="0" w:color="auto"/>
              <w:lef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23</w:t>
            </w:r>
          </w:p>
        </w:tc>
        <w:tc>
          <w:tcPr>
            <w:tcW w:w="3866" w:type="dxa"/>
            <w:tcBorders>
              <w:top w:val="single" w:sz="4" w:space="0" w:color="auto"/>
              <w:left w:val="single" w:sz="4" w:space="0" w:color="auto"/>
              <w:right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成本指标扣7分</w:t>
            </w:r>
          </w:p>
        </w:tc>
      </w:tr>
      <w:tr>
        <w:tblPrEx>
          <w:tblW w:w="9309" w:type="dxa"/>
          <w:tblLayout w:type="fixed"/>
          <w:tblCellMar>
            <w:top w:w="0" w:type="dxa"/>
            <w:left w:w="10" w:type="dxa"/>
            <w:bottom w:w="0" w:type="dxa"/>
            <w:right w:w="10" w:type="dxa"/>
          </w:tblCellMar>
        </w:tblPrEx>
        <w:trPr>
          <w:trHeight w:hRule="exact" w:val="763"/>
          <w:jc w:val="center"/>
        </w:trPr>
        <w:tc>
          <w:tcPr>
            <w:tcW w:w="1447"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效益</w:t>
            </w:r>
          </w:p>
        </w:tc>
        <w:tc>
          <w:tcPr>
            <w:tcW w:w="2045"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1951"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30</w:t>
            </w:r>
          </w:p>
        </w:tc>
        <w:tc>
          <w:tcPr>
            <w:tcW w:w="3866" w:type="dxa"/>
            <w:tcBorders>
              <w:top w:val="single" w:sz="4" w:space="0" w:color="auto"/>
              <w:left w:val="single" w:sz="4" w:space="0" w:color="auto"/>
              <w:bottom w:val="single" w:sz="4" w:space="0" w:color="auto"/>
              <w:right w:val="single" w:sz="4" w:space="0" w:color="auto"/>
            </w:tcBorders>
            <w:shd w:val="clear" w:color="auto" w:fill="FFFFFF"/>
            <w:noWrap w:val="0"/>
            <w:vAlign w:val="top"/>
          </w:tcPr>
          <w:p>
            <w:pPr>
              <w:spacing w:line="560" w:lineRule="exact"/>
              <w:rPr>
                <w:rFonts w:ascii="仿宋_GB2312" w:hAnsi="仿宋_GB2312" w:cs="仿宋_GB2312" w:hint="eastAsia"/>
                <w:color w:val="auto"/>
                <w:sz w:val="32"/>
                <w:szCs w:val="32"/>
                <w:highlight w:val="none"/>
              </w:rPr>
            </w:pPr>
          </w:p>
        </w:tc>
      </w:tr>
      <w:tr>
        <w:tblPrEx>
          <w:tblW w:w="9309" w:type="dxa"/>
          <w:tblLayout w:type="fixed"/>
          <w:tblCellMar>
            <w:top w:w="0" w:type="dxa"/>
            <w:left w:w="10" w:type="dxa"/>
            <w:bottom w:w="0" w:type="dxa"/>
            <w:right w:w="10" w:type="dxa"/>
          </w:tblCellMar>
        </w:tblPrEx>
        <w:trPr>
          <w:trHeight w:hRule="exact" w:val="763"/>
          <w:jc w:val="center"/>
        </w:trPr>
        <w:tc>
          <w:tcPr>
            <w:tcW w:w="1447"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eastAsia"/>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合计</w:t>
            </w:r>
          </w:p>
        </w:tc>
        <w:tc>
          <w:tcPr>
            <w:tcW w:w="2045"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100</w:t>
            </w:r>
          </w:p>
        </w:tc>
        <w:tc>
          <w:tcPr>
            <w:tcW w:w="1951" w:type="dxa"/>
            <w:tcBorders>
              <w:top w:val="single" w:sz="4" w:space="0" w:color="auto"/>
              <w:left w:val="single" w:sz="4" w:space="0" w:color="auto"/>
              <w:bottom w:val="single" w:sz="4" w:space="0" w:color="auto"/>
            </w:tcBorders>
            <w:shd w:val="clear" w:color="auto" w:fill="FFFFFF"/>
            <w:noWrap w:val="0"/>
            <w:vAlign w:val="center"/>
          </w:tcPr>
          <w:p>
            <w:pPr>
              <w:pStyle w:val="Other|1"/>
              <w:spacing w:line="560" w:lineRule="exact"/>
              <w:ind w:firstLine="0"/>
              <w:jc w:val="center"/>
              <w:rPr>
                <w:rFonts w:ascii="仿宋_GB2312" w:eastAsia="仿宋_GB2312" w:hAnsi="仿宋_GB2312" w:cs="仿宋_GB2312" w:hint="default"/>
                <w:color w:val="auto"/>
                <w:sz w:val="32"/>
                <w:szCs w:val="32"/>
                <w:highlight w:val="none"/>
                <w:lang w:val="en-US" w:eastAsia="zh-CN" w:bidi="ar-SA"/>
              </w:rPr>
            </w:pPr>
            <w:r>
              <w:rPr>
                <w:rFonts w:ascii="仿宋_GB2312" w:eastAsia="仿宋_GB2312" w:hAnsi="仿宋_GB2312" w:cs="仿宋_GB2312" w:hint="eastAsia"/>
                <w:color w:val="auto"/>
                <w:sz w:val="32"/>
                <w:szCs w:val="32"/>
                <w:highlight w:val="none"/>
                <w:lang w:val="en-US" w:eastAsia="zh-CN" w:bidi="ar-SA"/>
              </w:rPr>
              <w:t xml:space="preserve">89.95</w:t>
            </w:r>
          </w:p>
        </w:tc>
        <w:tc>
          <w:tcPr>
            <w:tcW w:w="3866" w:type="dxa"/>
            <w:tcBorders>
              <w:top w:val="single" w:sz="4" w:space="0" w:color="auto"/>
              <w:left w:val="single" w:sz="4" w:space="0" w:color="auto"/>
              <w:bottom w:val="single" w:sz="4" w:space="0" w:color="auto"/>
              <w:right w:val="single" w:sz="4" w:space="0" w:color="auto"/>
            </w:tcBorders>
            <w:shd w:val="clear" w:color="auto" w:fill="FFFFFF"/>
            <w:noWrap w:val="0"/>
            <w:vAlign w:val="top"/>
          </w:tcPr>
          <w:p>
            <w:pPr>
              <w:spacing w:line="560" w:lineRule="exact"/>
              <w:rPr>
                <w:rFonts w:ascii="仿宋_GB2312" w:hAnsi="仿宋_GB2312" w:cs="仿宋_GB2312" w:hint="eastAsia"/>
                <w:color w:val="auto"/>
                <w:sz w:val="32"/>
                <w:szCs w:val="32"/>
                <w:highlight w:val="none"/>
              </w:rPr>
            </w:pPr>
          </w:p>
        </w:tc>
      </w:tr>
    </w:tbl>
    <w:p>
      <w:pPr>
        <w:snapToGrid w:val="0"/>
        <w:spacing w:line="560" w:lineRule="exact"/>
        <w:ind w:firstLine="480" w:firstLineChars="150"/>
        <w:jc w:val="left"/>
        <w:rPr>
          <w:rFonts w:ascii="楷体" w:eastAsia="楷体" w:hAnsi="楷体" w:cs="楷体" w:hint="eastAsia"/>
          <w:b/>
          <w:bCs/>
          <w:color w:val="auto"/>
          <w:sz w:val="32"/>
          <w:szCs w:val="32"/>
          <w:highlight w:val="none"/>
        </w:rPr>
      </w:pPr>
      <w:r>
        <w:rPr>
          <w:rFonts w:ascii="楷体" w:eastAsia="楷体" w:hAnsi="楷体" w:cs="楷体" w:hint="eastAsia"/>
          <w:b/>
          <w:bCs/>
          <w:color w:val="auto"/>
          <w:sz w:val="32"/>
          <w:szCs w:val="32"/>
          <w:highlight w:val="none"/>
        </w:rPr>
        <w:t xml:space="preserve">（二）评价结论</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202</w:t>
      </w:r>
      <w:r>
        <w:rPr>
          <w:rFonts w:ascii="仿宋_GB2312" w:hAnsi="仿宋_GB2312" w:cs="仿宋_GB2312"/>
          <w:color w:val="auto"/>
          <w:sz w:val="32"/>
          <w:szCs w:val="32"/>
          <w:highlight w:val="none"/>
        </w:rPr>
        <w:t xml:space="preserve">4</w:t>
      </w:r>
      <w:r>
        <w:rPr>
          <w:rFonts w:ascii="仿宋_GB2312" w:hAnsi="仿宋_GB2312" w:cs="仿宋_GB2312" w:hint="eastAsia"/>
          <w:color w:val="auto"/>
          <w:sz w:val="32"/>
          <w:szCs w:val="32"/>
          <w:highlight w:val="none"/>
        </w:rPr>
        <w:t xml:space="preserve">年</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资金达到了年初设立的绩效目标，在实施过程中取得了良好的成效，具体表现在以下几点：</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通过本项目的实施202</w:t>
      </w:r>
      <w:r>
        <w:rPr>
          <w:rFonts w:ascii="仿宋_GB2312" w:hAnsi="仿宋_GB2312" w:cs="仿宋_GB2312"/>
          <w:color w:val="auto"/>
          <w:sz w:val="32"/>
          <w:szCs w:val="32"/>
          <w:highlight w:val="none"/>
        </w:rPr>
        <w:t xml:space="preserve">4</w:t>
      </w:r>
      <w:r>
        <w:rPr>
          <w:rFonts w:ascii="仿宋_GB2312" w:hAnsi="仿宋_GB2312" w:cs="仿宋_GB2312" w:hint="eastAsia"/>
          <w:color w:val="auto"/>
          <w:sz w:val="32"/>
          <w:szCs w:val="32"/>
          <w:highlight w:val="none"/>
        </w:rPr>
        <w:t xml:space="preserve">年已完成采购软件6项、网络服务7项等工作；通过该项目的实施达到互联网畅通，属地网络安全，确保网信业务工作正常运转的效果。</w:t>
      </w:r>
    </w:p>
    <w:p>
      <w:pPr>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全年</w:t>
      </w:r>
      <w:r>
        <w:rPr>
          <w:rFonts w:ascii="仿宋_GB2312" w:hAnsi="仿宋" w:cs="宋体" w:hint="eastAsia"/>
          <w:color w:val="auto"/>
          <w:kern w:val="0"/>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支出共计</w:t>
      </w:r>
      <w:r>
        <w:rPr>
          <w:rFonts w:ascii="仿宋_GB2312" w:hAnsi="仿宋_GB2312" w:cs="仿宋_GB2312" w:hint="eastAsia"/>
          <w:color w:val="auto"/>
          <w:sz w:val="32"/>
          <w:szCs w:val="32"/>
          <w:highlight w:val="none"/>
          <w:lang w:val="en-US" w:eastAsia="zh-CN"/>
        </w:rPr>
        <w:t xml:space="preserve">43.05</w:t>
      </w:r>
      <w:r>
        <w:rPr>
          <w:rFonts w:ascii="仿宋_GB2312" w:hAnsi="仿宋_GB2312" w:cs="仿宋_GB2312" w:hint="eastAsia"/>
          <w:color w:val="auto"/>
          <w:sz w:val="32"/>
          <w:szCs w:val="32"/>
          <w:highlight w:val="none"/>
        </w:rPr>
        <w:t xml:space="preserve">万元，评价得分值</w:t>
      </w:r>
      <w:r>
        <w:rPr>
          <w:rFonts w:ascii="仿宋_GB2312" w:hAnsi="仿宋_GB2312" w:cs="仿宋_GB2312" w:hint="eastAsia"/>
          <w:color w:val="auto"/>
          <w:sz w:val="32"/>
          <w:szCs w:val="32"/>
          <w:highlight w:val="none"/>
          <w:lang w:val="en-US" w:eastAsia="zh-CN"/>
        </w:rPr>
        <w:t xml:space="preserve">89.95</w:t>
      </w:r>
      <w:r>
        <w:rPr>
          <w:rFonts w:ascii="仿宋_GB2312" w:hAnsi="仿宋_GB2312" w:cs="仿宋_GB2312" w:hint="eastAsia"/>
          <w:color w:val="auto"/>
          <w:sz w:val="32"/>
          <w:szCs w:val="32"/>
          <w:highlight w:val="none"/>
        </w:rPr>
        <w:t xml:space="preserve">分。</w:t>
      </w:r>
    </w:p>
    <w:p>
      <w:pPr>
        <w:snapToGrid w:val="0"/>
        <w:spacing w:line="560" w:lineRule="exact"/>
        <w:ind w:firstLine="640" w:firstLineChars="200"/>
        <w:rPr>
          <w:rFonts w:ascii="黑体" w:eastAsia="黑体" w:hAnsi="黑体" w:cs="仿宋_GB2312" w:hint="eastAsia"/>
          <w:color w:val="auto"/>
          <w:sz w:val="32"/>
          <w:szCs w:val="32"/>
          <w:highlight w:val="none"/>
        </w:rPr>
      </w:pPr>
      <w:r>
        <w:rPr>
          <w:rFonts w:ascii="黑体" w:eastAsia="黑体" w:hAnsi="黑体" w:cs="仿宋_GB2312" w:hint="eastAsia"/>
          <w:color w:val="auto"/>
          <w:sz w:val="32"/>
          <w:szCs w:val="32"/>
          <w:highlight w:val="none"/>
        </w:rPr>
        <w:t xml:space="preserve">四、绩效评价指标分析</w:t>
      </w:r>
    </w:p>
    <w:p>
      <w:pPr>
        <w:snapToGrid w:val="0"/>
        <w:spacing w:line="560" w:lineRule="exact"/>
        <w:ind w:firstLine="640" w:firstLineChars="200"/>
        <w:outlineLvl w:val="0"/>
        <w:rPr>
          <w:rFonts w:ascii="楷体" w:eastAsia="楷体" w:hAnsi="楷体" w:cs="仿宋_GB2312" w:hint="eastAsia"/>
          <w:b/>
          <w:bCs/>
          <w:color w:val="auto"/>
          <w:sz w:val="32"/>
          <w:szCs w:val="32"/>
          <w:highlight w:val="none"/>
        </w:rPr>
      </w:pPr>
      <w:r>
        <w:rPr>
          <w:rFonts w:ascii="楷体" w:eastAsia="楷体" w:hAnsi="楷体" w:cs="仿宋_GB2312" w:hint="eastAsia"/>
          <w:b/>
          <w:bCs/>
          <w:color w:val="auto"/>
          <w:sz w:val="32"/>
          <w:szCs w:val="32"/>
          <w:highlight w:val="none"/>
        </w:rPr>
        <w:t xml:space="preserve">（一）项目决策情况。</w:t>
      </w:r>
    </w:p>
    <w:p>
      <w:pPr>
        <w:pStyle w:val="闻政正文"/>
        <w:spacing w:line="560" w:lineRule="exact"/>
        <w:ind w:firstLine="640"/>
        <w:rPr>
          <w:rFonts w:ascii="仿宋_GB2312" w:hAnsi="仿宋" w:cs="宋体" w:hint="eastAsia"/>
          <w:color w:val="auto"/>
          <w:sz w:val="32"/>
          <w:szCs w:val="32"/>
          <w:highlight w:val="none"/>
        </w:rPr>
      </w:pPr>
      <w:r>
        <w:rPr>
          <w:rFonts w:ascii="仿宋_GB2312" w:hAnsi="仿宋" w:cs="宋体" w:hint="eastAsia"/>
          <w:color w:val="auto"/>
          <w:sz w:val="32"/>
          <w:szCs w:val="32"/>
          <w:highlight w:val="none"/>
        </w:rPr>
        <w:t xml:space="preserve">本项目的立项符合相关法规政策及部门职责，依据充分；项目严格按照规定的程序申请设立；审批文件、材料符合相关要求；项目前期已经过必要的可行性研究、专家论证、风险评估、绩效评估、集体决策。</w:t>
      </w:r>
    </w:p>
    <w:p>
      <w:pPr>
        <w:spacing w:line="560" w:lineRule="exact"/>
        <w:ind w:firstLine="640" w:firstLineChars="200"/>
        <w:rPr>
          <w:rFonts w:ascii="仿宋_GB2312" w:hAnsi="仿宋" w:cs="宋体" w:hint="eastAsia"/>
          <w:color w:val="auto"/>
          <w:sz w:val="32"/>
          <w:szCs w:val="32"/>
          <w:highlight w:val="none"/>
        </w:rPr>
      </w:pPr>
      <w:r>
        <w:rPr>
          <w:rFonts w:ascii="仿宋_GB2312" w:hAnsi="仿宋" w:cs="宋体" w:hint="eastAsia"/>
          <w:color w:val="auto"/>
          <w:sz w:val="32"/>
          <w:szCs w:val="32"/>
          <w:highlight w:val="none"/>
        </w:rPr>
        <w:t xml:space="preserve">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w:t>
      </w:r>
    </w:p>
    <w:p>
      <w:pPr>
        <w:snapToGrid w:val="0"/>
        <w:spacing w:line="560" w:lineRule="exact"/>
        <w:ind w:firstLine="640" w:firstLineChars="200"/>
        <w:outlineLvl w:val="0"/>
        <w:rPr>
          <w:rFonts w:ascii="仿宋_GB2312" w:hAnsi="仿宋_GB2312" w:cs="仿宋_GB2312" w:hint="eastAsia"/>
          <w:color w:val="auto"/>
          <w:sz w:val="32"/>
          <w:szCs w:val="32"/>
          <w:highlight w:val="none"/>
        </w:rPr>
      </w:pPr>
      <w:r>
        <w:rPr>
          <w:rFonts w:ascii="仿宋_GB2312" w:hAnsi="仿宋" w:cs="宋体" w:hint="eastAsia"/>
          <w:color w:val="auto"/>
          <w:sz w:val="32"/>
          <w:szCs w:val="32"/>
          <w:highlight w:val="none"/>
        </w:rPr>
        <w:t xml:space="preserve">项目在资金投入方面，预算编制经过科学论证、有明确标准，资金额度与年度目标相适应，用以反映和考核项目预算编制的科学性、合理性情况。项目预算资金分配有测算依据，与补助单位或地方实际相适应。</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bCs/>
          <w:color w:val="auto"/>
          <w:sz w:val="32"/>
          <w:szCs w:val="32"/>
          <w:highlight w:val="none"/>
        </w:rPr>
      </w:pPr>
      <w:r>
        <w:rPr>
          <w:rFonts w:ascii="楷体" w:eastAsia="楷体" w:hAnsi="楷体" w:cs="仿宋_GB2312" w:hint="eastAsia"/>
          <w:b/>
          <w:bCs/>
          <w:color w:val="auto"/>
          <w:sz w:val="32"/>
          <w:szCs w:val="32"/>
          <w:highlight w:val="none"/>
        </w:rPr>
        <w:t xml:space="preserve">（二）项目过程情况。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1．资金管理</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 w:cs="宋体" w:hint="eastAsia"/>
          <w:color w:val="auto"/>
          <w:sz w:val="32"/>
          <w:szCs w:val="32"/>
          <w:highlight w:val="none"/>
        </w:rPr>
        <w:t xml:space="preserve">在资金管理方面，项目资金到位足额及时，并及时支付，资金使用符合国家法规和财务管理制度；资金拨付有完整的审批程序和手续，符合项目预算批复或合同规定的用途；不存在截留、挤占、挪用、虚列支出等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 w:cs="宋体" w:hint="eastAsia"/>
          <w:b/>
          <w:color w:val="auto"/>
          <w:sz w:val="32"/>
          <w:szCs w:val="32"/>
          <w:highlight w:val="none"/>
        </w:rPr>
      </w:pPr>
      <w:r>
        <w:rPr>
          <w:rFonts w:ascii="仿宋_GB2312" w:hAnsi="仿宋" w:cs="宋体" w:hint="eastAsia"/>
          <w:b/>
          <w:color w:val="auto"/>
          <w:sz w:val="32"/>
          <w:szCs w:val="32"/>
          <w:highlight w:val="none"/>
        </w:rPr>
        <w:t xml:space="preserve">2．项目实施</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（1）项目管理制度建设方面</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对项目申请进行严格审核、筛选。根据拟申请预算项目，从相关性、预期绩效的可实现性、实施方案的有效性、预期绩效的可持续性及财政资金投入的可行性风险五个方面进行客观、公正的评估。</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评估结果作为申报2025年</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预算依据。继而进行该项目支出预算的编制、执行和上报等工作。在项目预算的编制工程中，坚持履行政府职能方面的轻重缓急程度进行先后排序，坚持对</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先进行论证，结合论证情况编制预算，最后由预算部门结合财力情况进行预算安排或追加。</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（2）日常检查监督管理方面</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组织形式，明确了该项目经费的开支范围为软件服务及链路费</w:t>
      </w:r>
      <w:r>
        <w:rPr>
          <w:rFonts w:ascii="仿宋_GB2312" w:hAnsi="仿宋_GB2312" w:cs="仿宋_GB2312" w:hint="eastAsia"/>
          <w:color w:val="auto"/>
          <w:sz w:val="32"/>
          <w:szCs w:val="32"/>
          <w:highlight w:val="none"/>
          <w:lang w:val="en-US" w:eastAsia="zh-CN"/>
        </w:rPr>
        <w:t xml:space="preserve">资金</w:t>
      </w:r>
      <w:r>
        <w:rPr>
          <w:rFonts w:ascii="仿宋_GB2312" w:hAnsi="仿宋_GB2312" w:cs="仿宋_GB2312" w:hint="eastAsia"/>
          <w:color w:val="auto"/>
          <w:sz w:val="32"/>
          <w:szCs w:val="32"/>
          <w:highlight w:val="none"/>
        </w:rPr>
        <w:t xml:space="preserve">，严格做到专款专用，责任到人。在资金使用环节，严格遵守相关规定，严格按照我局资金财务审批流程办理款项支付。在会计核算环节，对本项目资金实行单独核算，确保部门预算资金专款专用。</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（3）运用财务内控系统实时监管</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年初将财政批复的部门预算资金预算指标整体导入，对预算指标按照项目分类，从数量、质量、时效、满意度等方面分别进行管理控制，监控、掌握预算实时信息，通过不定期检查预算执行情况，增强预算指标刚性。</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4）严格按照政府采购制度规范实施政府采购。对于需要实施政府采购的活动，严格实施、履行采购手续，选择合规可行的采购形式，并组织专家评审或公开招标，将采购政策、采购程序、采购过程规范化、透明化。</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202</w:t>
      </w:r>
      <w:r>
        <w:rPr>
          <w:rFonts w:ascii="仿宋_GB2312" w:hAnsi="仿宋_GB2312" w:cs="仿宋_GB2312"/>
          <w:color w:val="auto"/>
          <w:sz w:val="32"/>
          <w:szCs w:val="32"/>
          <w:highlight w:val="none"/>
        </w:rPr>
        <w:t xml:space="preserve">4</w:t>
      </w:r>
      <w:r>
        <w:rPr>
          <w:rFonts w:ascii="仿宋_GB2312" w:hAnsi="仿宋_GB2312" w:cs="仿宋_GB2312" w:hint="eastAsia"/>
          <w:color w:val="auto"/>
          <w:sz w:val="32"/>
          <w:szCs w:val="32"/>
          <w:highlight w:val="none"/>
        </w:rPr>
        <w:t xml:space="preserve">年</w:t>
      </w:r>
      <w:r>
        <w:rPr>
          <w:rFonts w:ascii="仿宋_GB2312" w:hAnsi="仿宋_GB2312" w:cs="仿宋_GB2312" w:hint="eastAsia"/>
          <w:color w:val="auto"/>
          <w:sz w:val="32"/>
          <w:szCs w:val="32"/>
          <w:highlight w:val="none"/>
          <w:lang w:eastAsia="zh-CN"/>
        </w:rPr>
        <w:t xml:space="preserve">软件服务及链路费项目</w:t>
      </w:r>
      <w:r>
        <w:rPr>
          <w:rFonts w:ascii="仿宋_GB2312" w:hAnsi="仿宋_GB2312" w:cs="仿宋_GB2312" w:hint="eastAsia"/>
          <w:color w:val="auto"/>
          <w:sz w:val="32"/>
          <w:szCs w:val="32"/>
          <w:highlight w:val="none"/>
        </w:rPr>
        <w:t xml:space="preserve">在实施阶段均制定了具体的组织实施文件，各个项目均经过项目申报、项目评审、项目核准备案、采购招标、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jc w:val="left"/>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本次评价认为：该项目组织机构设置合理，政策及管理办法基本完善，所有项目均按照流程执行，中期有检查，后期有验收。</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楷体" w:eastAsia="楷体" w:hAnsi="楷体" w:cs="仿宋_GB2312" w:hint="eastAsia"/>
          <w:b/>
          <w:color w:val="auto"/>
          <w:sz w:val="32"/>
          <w:szCs w:val="32"/>
          <w:highlight w:val="none"/>
        </w:rPr>
      </w:pPr>
      <w:r>
        <w:rPr>
          <w:rFonts w:ascii="楷体" w:eastAsia="楷体" w:hAnsi="楷体" w:cs="仿宋_GB2312" w:hint="eastAsia"/>
          <w:b/>
          <w:color w:val="auto"/>
          <w:sz w:val="32"/>
          <w:szCs w:val="32"/>
          <w:highlight w:val="none"/>
        </w:rPr>
        <w:t xml:space="preserve">（三）项目产出情况</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b/>
          <w:bCs/>
          <w:color w:val="auto"/>
          <w:sz w:val="32"/>
          <w:szCs w:val="32"/>
          <w:highlight w:val="none"/>
        </w:rPr>
      </w:pPr>
      <w:r>
        <w:rPr>
          <w:rFonts w:ascii="仿宋_GB2312" w:hAnsi="仿宋_GB2312" w:cs="仿宋_GB2312" w:hint="eastAsia"/>
          <w:b/>
          <w:bCs/>
          <w:color w:val="auto"/>
          <w:sz w:val="32"/>
          <w:szCs w:val="32"/>
          <w:highlight w:val="none"/>
        </w:rPr>
        <w:t xml:space="preserve">1．数量指标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数量指标为采购软件数量，预期指标值是</w:t>
      </w:r>
      <w:r>
        <w:rPr>
          <w:rFonts w:ascii="仿宋_GB2312" w:hAnsi="仿宋_GB2312" w:cs="仿宋_GB2312" w:hint="eastAsia"/>
          <w:color w:val="auto"/>
          <w:sz w:val="32"/>
          <w:szCs w:val="32"/>
          <w:highlight w:val="none"/>
          <w:lang w:eastAsia="zh-CN"/>
        </w:rPr>
        <w:t xml:space="preserve">大于等于</w:t>
      </w:r>
      <w:r>
        <w:rPr>
          <w:rFonts w:ascii="仿宋_GB2312" w:hAnsi="仿宋_GB2312" w:cs="仿宋_GB2312" w:hint="eastAsia"/>
          <w:color w:val="auto"/>
          <w:sz w:val="32"/>
          <w:szCs w:val="32"/>
          <w:highlight w:val="none"/>
        </w:rPr>
        <w:t xml:space="preserve">6项，实际完成值是</w:t>
      </w:r>
      <w:r>
        <w:rPr>
          <w:rFonts w:ascii="仿宋_GB2312" w:hAnsi="仿宋_GB2312" w:cs="仿宋_GB2312" w:hint="eastAsia"/>
          <w:color w:val="auto"/>
          <w:sz w:val="32"/>
          <w:szCs w:val="32"/>
          <w:highlight w:val="none"/>
          <w:lang w:eastAsia="zh-CN"/>
        </w:rPr>
        <w:t xml:space="preserve">等于</w:t>
      </w:r>
      <w:r>
        <w:rPr>
          <w:rFonts w:ascii="仿宋_GB2312" w:hAnsi="仿宋_GB2312" w:cs="仿宋_GB2312" w:hint="eastAsia"/>
          <w:color w:val="auto"/>
          <w:sz w:val="32"/>
          <w:szCs w:val="32"/>
          <w:highlight w:val="none"/>
        </w:rPr>
        <w:t xml:space="preserve">6项，指标达到预期目标。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数量指标为网络服务数量，预期指标值是</w:t>
      </w:r>
      <w:r>
        <w:rPr>
          <w:rFonts w:ascii="仿宋_GB2312" w:hAnsi="仿宋_GB2312" w:cs="仿宋_GB2312" w:hint="eastAsia"/>
          <w:color w:val="auto"/>
          <w:sz w:val="32"/>
          <w:szCs w:val="32"/>
          <w:highlight w:val="none"/>
          <w:lang w:eastAsia="zh-CN"/>
        </w:rPr>
        <w:t xml:space="preserve">大于等于</w:t>
      </w:r>
      <w:r>
        <w:rPr>
          <w:rFonts w:ascii="仿宋_GB2312" w:hAnsi="仿宋_GB2312" w:cs="仿宋_GB2312" w:hint="eastAsia"/>
          <w:color w:val="auto"/>
          <w:sz w:val="32"/>
          <w:szCs w:val="32"/>
          <w:highlight w:val="none"/>
        </w:rPr>
        <w:t xml:space="preserve">7项，实际完成值是</w:t>
      </w:r>
      <w:r>
        <w:rPr>
          <w:rFonts w:ascii="仿宋_GB2312" w:hAnsi="仿宋_GB2312" w:cs="仿宋_GB2312" w:hint="eastAsia"/>
          <w:color w:val="auto"/>
          <w:sz w:val="32"/>
          <w:szCs w:val="32"/>
          <w:highlight w:val="none"/>
          <w:lang w:eastAsia="zh-CN"/>
        </w:rPr>
        <w:t xml:space="preserve">等于</w:t>
      </w:r>
      <w:r>
        <w:rPr>
          <w:rFonts w:ascii="仿宋_GB2312" w:hAnsi="仿宋_GB2312" w:cs="仿宋_GB2312" w:hint="eastAsia"/>
          <w:color w:val="auto"/>
          <w:sz w:val="32"/>
          <w:szCs w:val="32"/>
          <w:highlight w:val="none"/>
        </w:rPr>
        <w:t xml:space="preserve">7项，指标达到预期目标。</w:t>
      </w:r>
    </w:p>
    <w:p>
      <w:pPr>
        <w:numPr>
          <w:ilvl w:val="0"/>
          <w:numId w:val="4"/>
        </w:num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b/>
          <w:color w:val="auto"/>
          <w:sz w:val="32"/>
          <w:szCs w:val="32"/>
          <w:highlight w:val="none"/>
        </w:rPr>
        <w:t xml:space="preserve">质量指标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质量指标为采购软件合格率，预期指标值是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100%，指标达到预期目标。</w:t>
      </w:r>
    </w:p>
    <w:p>
      <w:pPr>
        <w:numPr>
          <w:ilvl w:val="0"/>
          <w:numId w:val="4"/>
        </w:num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color w:val="auto"/>
          <w:sz w:val="32"/>
          <w:szCs w:val="32"/>
          <w:highlight w:val="none"/>
        </w:rPr>
      </w:pPr>
      <w:r>
        <w:rPr>
          <w:rFonts w:ascii="仿宋_GB2312" w:hint="eastAsia"/>
          <w:b/>
          <w:color w:val="auto"/>
          <w:sz w:val="32"/>
          <w:szCs w:val="32"/>
          <w:highlight w:val="none"/>
        </w:rPr>
        <w:t xml:space="preserve">时效指标</w:t>
      </w:r>
    </w:p>
    <w:p>
      <w:pPr>
        <w:pBdr>
          <w:top w:val="none" w:sz="0" w:space="0" w:color="auto"/>
          <w:left w:val="none" w:sz="0" w:space="0" w:color="auto"/>
          <w:bottom w:val="none" w:sz="0" w:space="31" w:color="auto"/>
          <w:right w:val="none" w:sz="0" w:space="2" w:color="auto"/>
        </w:pBdr>
        <w:autoSpaceDN w:val="0"/>
        <w:adjustRightInd w:val="0"/>
        <w:snapToGrid w:val="0"/>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时效指标为项目结束时间，预期指标值是2024年12月，实际完成值是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2024年12月，指标达到预期目标。</w:t>
      </w:r>
    </w:p>
    <w:p>
      <w:pPr>
        <w:spacing w:line="560" w:lineRule="exact"/>
        <w:ind w:firstLine="640" w:firstLineChars="200"/>
        <w:rPr>
          <w:rFonts w:ascii="仿宋_GB2312" w:hint="eastAsia"/>
          <w:b/>
          <w:color w:val="auto"/>
          <w:sz w:val="32"/>
          <w:szCs w:val="32"/>
          <w:highlight w:val="none"/>
        </w:rPr>
      </w:pPr>
      <w:r>
        <w:rPr>
          <w:rFonts w:ascii="仿宋_GB2312" w:hint="eastAsia"/>
          <w:b/>
          <w:color w:val="auto"/>
          <w:sz w:val="32"/>
          <w:szCs w:val="32"/>
          <w:highlight w:val="none"/>
        </w:rPr>
        <w:t xml:space="preserve">4．成本指标</w:t>
      </w:r>
    </w:p>
    <w:p>
      <w:pPr>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成本指标为采购软件成本，预期指标值是</w:t>
      </w:r>
      <w:r>
        <w:rPr>
          <w:rFonts w:ascii="仿宋_GB2312" w:hint="eastAsia"/>
          <w:color w:val="auto"/>
          <w:sz w:val="32"/>
          <w:szCs w:val="32"/>
          <w:highlight w:val="none"/>
          <w:lang w:eastAsia="zh-CN"/>
        </w:rPr>
        <w:t xml:space="preserve">小于等于</w:t>
      </w:r>
      <w:r>
        <w:rPr>
          <w:rFonts w:ascii="仿宋_GB2312" w:hint="eastAsia"/>
          <w:color w:val="auto"/>
          <w:sz w:val="32"/>
          <w:szCs w:val="32"/>
          <w:highlight w:val="none"/>
        </w:rPr>
        <w:t xml:space="preserve">98万元，实际完成值是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37.65万元，指标</w:t>
      </w:r>
      <w:r>
        <w:rPr>
          <w:rFonts w:ascii="仿宋_GB2312" w:hint="eastAsia"/>
          <w:color w:val="auto"/>
          <w:sz w:val="32"/>
          <w:szCs w:val="32"/>
          <w:highlight w:val="none"/>
          <w:lang w:val="en-US" w:eastAsia="zh-CN"/>
        </w:rPr>
        <w:t xml:space="preserve">未</w:t>
      </w:r>
      <w:r>
        <w:rPr>
          <w:rFonts w:ascii="仿宋_GB2312" w:hint="eastAsia"/>
          <w:color w:val="auto"/>
          <w:sz w:val="32"/>
          <w:szCs w:val="32"/>
          <w:highlight w:val="none"/>
        </w:rPr>
        <w:t xml:space="preserve">达到预期目标。原因：第三方机构未及时提供支出资料，未能按时支出；措施：及时催收支出资料，加快项目支出进度，减少偏差。</w:t>
      </w:r>
    </w:p>
    <w:p>
      <w:pPr>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成本指标为网络服务成本，预期指标值是</w:t>
      </w:r>
      <w:r>
        <w:rPr>
          <w:rFonts w:ascii="仿宋_GB2312" w:hint="eastAsia"/>
          <w:color w:val="auto"/>
          <w:sz w:val="32"/>
          <w:szCs w:val="32"/>
          <w:highlight w:val="none"/>
          <w:lang w:eastAsia="zh-CN"/>
        </w:rPr>
        <w:t xml:space="preserve">小于等于</w:t>
      </w:r>
      <w:r>
        <w:rPr>
          <w:rFonts w:ascii="仿宋_GB2312" w:hint="eastAsia"/>
          <w:color w:val="auto"/>
          <w:sz w:val="32"/>
          <w:szCs w:val="32"/>
          <w:highlight w:val="none"/>
        </w:rPr>
        <w:t xml:space="preserve">12万元，实际完成值是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5.4万元，指标</w:t>
      </w:r>
      <w:r>
        <w:rPr>
          <w:rFonts w:ascii="仿宋_GB2312" w:hint="eastAsia"/>
          <w:color w:val="auto"/>
          <w:sz w:val="32"/>
          <w:szCs w:val="32"/>
          <w:highlight w:val="none"/>
          <w:lang w:val="en-US" w:eastAsia="zh-CN"/>
        </w:rPr>
        <w:t xml:space="preserve">未</w:t>
      </w:r>
      <w:r>
        <w:rPr>
          <w:rFonts w:ascii="仿宋_GB2312" w:hint="eastAsia"/>
          <w:color w:val="auto"/>
          <w:sz w:val="32"/>
          <w:szCs w:val="32"/>
          <w:highlight w:val="none"/>
        </w:rPr>
        <w:t xml:space="preserve">达到预期目标。原因：第三方机构未及时提供支出资料，未能按时支出；措施：及时催收支出资料，加快项目支出进度，减少偏差。</w:t>
      </w:r>
    </w:p>
    <w:p>
      <w:pPr>
        <w:spacing w:line="560" w:lineRule="exact"/>
        <w:ind w:firstLine="640" w:firstLineChars="200"/>
        <w:rPr>
          <w:rFonts w:ascii="楷体" w:eastAsia="楷体" w:hAnsi="楷体" w:cs="宋体"/>
          <w:b/>
          <w:color w:val="auto"/>
          <w:sz w:val="32"/>
          <w:szCs w:val="32"/>
          <w:highlight w:val="none"/>
        </w:rPr>
      </w:pPr>
      <w:r>
        <w:rPr>
          <w:rFonts w:ascii="楷体" w:eastAsia="楷体" w:hAnsi="楷体" w:cs="宋体" w:hint="eastAsia"/>
          <w:b/>
          <w:color w:val="auto"/>
          <w:sz w:val="32"/>
          <w:szCs w:val="32"/>
          <w:highlight w:val="none"/>
        </w:rPr>
        <w:t xml:space="preserve">（四）项目效益情况</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b/>
          <w:bCs/>
          <w:color w:val="auto"/>
          <w:sz w:val="32"/>
          <w:szCs w:val="32"/>
          <w:highlight w:val="none"/>
        </w:rPr>
        <w:t xml:space="preserve"> </w:t>
      </w:r>
      <w:r>
        <w:rPr>
          <w:rFonts w:ascii="仿宋_GB2312" w:hAnsi="仿宋" w:cs="宋体" w:hint="eastAsia"/>
          <w:b/>
          <w:bCs/>
          <w:color w:val="auto"/>
          <w:sz w:val="32"/>
          <w:szCs w:val="32"/>
          <w:highlight w:val="none"/>
        </w:rPr>
        <w:t xml:space="preserve">1．经济效益指标</w:t>
      </w:r>
    </w:p>
    <w:p>
      <w:pPr>
        <w:spacing w:line="560" w:lineRule="exact"/>
        <w:ind w:firstLine="640" w:firstLineChars="200"/>
        <w:rPr>
          <w:rFonts w:ascii="仿宋_GB2312" w:hint="eastAsia"/>
          <w:color w:val="auto"/>
          <w:sz w:val="32"/>
          <w:szCs w:val="32"/>
          <w:highlight w:val="none"/>
        </w:rPr>
      </w:pPr>
      <w:r>
        <w:rPr>
          <w:rFonts w:ascii="仿宋_GB2312" w:hAnsi="仿宋" w:cs="宋体" w:hint="eastAsia"/>
          <w:bCs/>
          <w:color w:val="auto"/>
          <w:sz w:val="32"/>
          <w:szCs w:val="32"/>
          <w:highlight w:val="none"/>
          <w:lang w:val="en-US" w:eastAsia="zh-CN"/>
        </w:rPr>
        <w:t xml:space="preserve">无。</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hint="eastAsia"/>
          <w:b/>
          <w:bCs/>
          <w:color w:val="auto"/>
          <w:sz w:val="32"/>
          <w:szCs w:val="32"/>
          <w:highlight w:val="none"/>
        </w:rPr>
        <w:t xml:space="preserve">2．社会效益指标</w:t>
      </w:r>
    </w:p>
    <w:p>
      <w:pPr>
        <w:spacing w:line="560" w:lineRule="exact"/>
        <w:ind w:firstLine="640" w:firstLineChars="200"/>
        <w:rPr>
          <w:rFonts w:ascii="仿宋_GB2312" w:hint="eastAsia"/>
          <w:color w:val="auto"/>
          <w:sz w:val="32"/>
          <w:szCs w:val="32"/>
          <w:highlight w:val="none"/>
        </w:rPr>
      </w:pPr>
      <w:r>
        <w:rPr>
          <w:rFonts w:ascii="仿宋_GB2312" w:hAnsi="仿宋" w:cs="宋体" w:hint="eastAsia"/>
          <w:bCs/>
          <w:color w:val="auto"/>
          <w:sz w:val="32"/>
          <w:szCs w:val="32"/>
          <w:highlight w:val="none"/>
        </w:rPr>
        <w:t xml:space="preserve">项目实施产生的社会效益</w:t>
      </w:r>
      <w:r>
        <w:rPr>
          <w:rFonts w:ascii="仿宋_GB2312" w:hint="eastAsia"/>
          <w:color w:val="auto"/>
          <w:sz w:val="32"/>
          <w:szCs w:val="32"/>
          <w:highlight w:val="none"/>
        </w:rPr>
        <w:t xml:space="preserve">指标为确保网信业务工作正常运转，预期指标值是有效保障，实际完成值是有效保障，指标达到预期目标。</w:t>
      </w:r>
    </w:p>
    <w:p>
      <w:pPr>
        <w:spacing w:line="560" w:lineRule="exact"/>
        <w:ind w:firstLine="640" w:firstLineChars="200"/>
        <w:rPr>
          <w:rFonts w:ascii="仿宋_GB2312" w:hAnsi="仿宋" w:cs="宋体" w:hint="eastAsia"/>
          <w:b/>
          <w:bCs/>
          <w:color w:val="auto"/>
          <w:sz w:val="32"/>
          <w:szCs w:val="32"/>
          <w:highlight w:val="none"/>
        </w:rPr>
      </w:pPr>
      <w:r>
        <w:rPr>
          <w:rFonts w:ascii="仿宋_GB2312" w:hAnsi="仿宋" w:cs="宋体" w:hint="eastAsia"/>
          <w:b/>
          <w:bCs/>
          <w:color w:val="auto"/>
          <w:sz w:val="32"/>
          <w:szCs w:val="32"/>
          <w:highlight w:val="none"/>
        </w:rPr>
        <w:t xml:space="preserve">3．生态效益指标</w:t>
      </w:r>
    </w:p>
    <w:p>
      <w:pPr>
        <w:spacing w:line="560" w:lineRule="exact"/>
        <w:ind w:firstLine="640" w:firstLineChars="200"/>
        <w:rPr>
          <w:rFonts w:ascii="仿宋_GB2312" w:hint="eastAsia"/>
          <w:color w:val="auto"/>
          <w:sz w:val="32"/>
          <w:szCs w:val="32"/>
          <w:highlight w:val="none"/>
        </w:rPr>
      </w:pPr>
      <w:r>
        <w:rPr>
          <w:rFonts w:ascii="仿宋_GB2312" w:hAnsi="仿宋" w:cs="宋体" w:hint="eastAsia"/>
          <w:bCs/>
          <w:color w:val="auto"/>
          <w:sz w:val="32"/>
          <w:szCs w:val="32"/>
          <w:highlight w:val="none"/>
          <w:lang w:val="en-US" w:eastAsia="zh-CN"/>
        </w:rPr>
        <w:t xml:space="preserve">无。</w:t>
      </w:r>
    </w:p>
    <w:p>
      <w:pPr>
        <w:keepNext w:val="0"/>
        <w:keepLines w:val="0"/>
        <w:pageBreakBefore w:val="0"/>
        <w:widowControl w:val="0"/>
        <w:kinsoku/>
        <w:wordWrap/>
        <w:overflowPunct/>
        <w:topLinePunct w:val="0"/>
        <w:autoSpaceDE/>
        <w:bidi w:val="0"/>
        <w:adjustRightInd/>
        <w:snapToGrid/>
        <w:spacing w:line="560" w:lineRule="exact"/>
        <w:ind w:firstLine="640" w:firstLineChars="200"/>
        <w:contextualSpacing/>
        <w:textAlignment w:val="auto"/>
        <w:rPr>
          <w:rFonts w:ascii="楷体" w:eastAsia="楷体" w:hAnsi="楷体" w:cs="宋体" w:hint="eastAsia"/>
          <w:b/>
          <w:color w:val="auto"/>
          <w:sz w:val="32"/>
          <w:szCs w:val="32"/>
          <w:highlight w:val="none"/>
        </w:rPr>
      </w:pPr>
      <w:r>
        <w:rPr>
          <w:rFonts w:ascii="楷体" w:eastAsia="楷体" w:hAnsi="楷体" w:cs="宋体" w:hint="eastAsia"/>
          <w:b/>
          <w:color w:val="auto"/>
          <w:sz w:val="32"/>
          <w:szCs w:val="32"/>
          <w:highlight w:val="none"/>
          <w:lang w:eastAsia="zh-CN"/>
        </w:rPr>
        <w:t xml:space="preserve">（</w:t>
      </w:r>
      <w:r>
        <w:rPr>
          <w:rFonts w:ascii="楷体" w:eastAsia="楷体" w:hAnsi="楷体" w:cs="宋体" w:hint="eastAsia"/>
          <w:b/>
          <w:color w:val="auto"/>
          <w:sz w:val="32"/>
          <w:szCs w:val="32"/>
          <w:highlight w:val="none"/>
          <w:lang w:val="en-US" w:eastAsia="zh-CN"/>
        </w:rPr>
        <w:t xml:space="preserve">五</w:t>
      </w:r>
      <w:r>
        <w:rPr>
          <w:rFonts w:ascii="楷体" w:eastAsia="楷体" w:hAnsi="楷体" w:cs="宋体" w:hint="eastAsia"/>
          <w:b/>
          <w:color w:val="auto"/>
          <w:sz w:val="32"/>
          <w:szCs w:val="32"/>
          <w:highlight w:val="none"/>
          <w:lang w:eastAsia="zh-CN"/>
        </w:rPr>
        <w:t xml:space="preserve">）</w:t>
      </w:r>
      <w:r>
        <w:rPr>
          <w:rFonts w:ascii="楷体" w:eastAsia="楷体" w:hAnsi="楷体" w:cs="宋体" w:hint="eastAsia"/>
          <w:b/>
          <w:color w:val="auto"/>
          <w:sz w:val="32"/>
          <w:szCs w:val="32"/>
          <w:highlight w:val="none"/>
        </w:rPr>
        <w:t xml:space="preserve">满意度指标完成情况分析</w:t>
      </w:r>
    </w:p>
    <w:p>
      <w:pPr>
        <w:spacing w:line="560" w:lineRule="exact"/>
        <w:ind w:firstLine="640" w:firstLineChars="200"/>
        <w:rPr>
          <w:rFonts w:ascii="仿宋_GB2312" w:hint="eastAsia"/>
          <w:color w:val="auto"/>
          <w:sz w:val="32"/>
          <w:szCs w:val="32"/>
          <w:highlight w:val="none"/>
        </w:rPr>
      </w:pPr>
      <w:r>
        <w:rPr>
          <w:rFonts w:ascii="仿宋_GB2312" w:hint="eastAsia"/>
          <w:color w:val="auto"/>
          <w:sz w:val="32"/>
          <w:szCs w:val="32"/>
          <w:highlight w:val="none"/>
        </w:rPr>
        <w:t xml:space="preserve">满意度指标为工作人员满意度，预期指标值是</w:t>
      </w:r>
      <w:r>
        <w:rPr>
          <w:rFonts w:ascii="仿宋_GB2312" w:hint="eastAsia"/>
          <w:color w:val="auto"/>
          <w:sz w:val="32"/>
          <w:szCs w:val="32"/>
          <w:highlight w:val="none"/>
          <w:lang w:eastAsia="zh-CN"/>
        </w:rPr>
        <w:t xml:space="preserve">大于等于</w:t>
      </w:r>
      <w:r>
        <w:rPr>
          <w:rFonts w:ascii="仿宋_GB2312" w:hint="eastAsia"/>
          <w:color w:val="auto"/>
          <w:sz w:val="32"/>
          <w:szCs w:val="32"/>
          <w:highlight w:val="none"/>
        </w:rPr>
        <w:t xml:space="preserve">95%，实际完成值是</w:t>
      </w:r>
      <w:r>
        <w:rPr>
          <w:rFonts w:ascii="仿宋_GB2312" w:hint="eastAsia"/>
          <w:color w:val="auto"/>
          <w:sz w:val="32"/>
          <w:szCs w:val="32"/>
          <w:highlight w:val="none"/>
          <w:lang w:eastAsia="zh-CN"/>
        </w:rPr>
        <w:t xml:space="preserve">等于</w:t>
      </w:r>
      <w:r>
        <w:rPr>
          <w:rFonts w:ascii="仿宋_GB2312" w:hint="eastAsia"/>
          <w:color w:val="auto"/>
          <w:sz w:val="32"/>
          <w:szCs w:val="32"/>
          <w:highlight w:val="none"/>
        </w:rPr>
        <w:t xml:space="preserve">95%，指标达到预期目标。</w:t>
      </w:r>
    </w:p>
    <w:p>
      <w:pPr>
        <w:pStyle w:val="Heading4"/>
        <w:spacing w:before="0" w:beforeAutospacing="0" w:after="0" w:afterAutospacing="0" w:line="560" w:lineRule="exact"/>
        <w:ind w:firstLine="640" w:firstLineChars="200"/>
        <w:jc w:val="both"/>
        <w:rPr>
          <w:rFonts w:ascii="黑体" w:eastAsia="黑体" w:hAnsi="黑体" w:cs="仿宋_GB2312"/>
          <w:b w:val="0"/>
          <w:bCs w:val="0"/>
          <w:color w:val="auto"/>
          <w:kern w:val="2"/>
          <w:sz w:val="32"/>
          <w:szCs w:val="32"/>
          <w:highlight w:val="none"/>
        </w:rPr>
      </w:pPr>
      <w:r>
        <w:rPr>
          <w:rFonts w:ascii="黑体" w:eastAsia="黑体" w:hAnsi="黑体" w:cs="仿宋_GB2312" w:hint="default"/>
          <w:b w:val="0"/>
          <w:bCs w:val="0"/>
          <w:color w:val="auto"/>
          <w:kern w:val="2"/>
          <w:sz w:val="32"/>
          <w:szCs w:val="32"/>
          <w:highlight w:val="none"/>
        </w:rPr>
        <w:t xml:space="preserve">五、主要经验及做法、存在的问题及原因分析</w:t>
      </w:r>
    </w:p>
    <w:p>
      <w:pPr>
        <w:spacing w:line="560" w:lineRule="exact"/>
        <w:ind w:firstLine="640" w:firstLineChars="200"/>
        <w:rPr>
          <w:rFonts w:ascii="楷体" w:eastAsia="楷体" w:hAnsi="楷体"/>
          <w:b/>
          <w:bCs/>
          <w:color w:val="auto"/>
          <w:sz w:val="32"/>
          <w:szCs w:val="32"/>
          <w:highlight w:val="none"/>
        </w:rPr>
      </w:pPr>
      <w:r>
        <w:rPr>
          <w:rFonts w:ascii="楷体" w:eastAsia="楷体" w:hAnsi="楷体" w:hint="eastAsia"/>
          <w:b/>
          <w:bCs/>
          <w:color w:val="auto"/>
          <w:sz w:val="32"/>
          <w:szCs w:val="32"/>
          <w:highlight w:val="none"/>
        </w:rPr>
        <w:t xml:space="preserve">（一）主要经验及做法</w:t>
      </w:r>
    </w:p>
    <w:p>
      <w:pPr>
        <w:pStyle w:val="标题2"/>
        <w:keepNext w:val="0"/>
        <w:keepLines w:val="0"/>
        <w:numPr>
          <w:ilvl w:val="0"/>
          <w:numId w:val="0"/>
        </w:numPr>
        <w:spacing w:before="0" w:after="0" w:line="560" w:lineRule="exact"/>
        <w:ind w:firstLine="640" w:firstLineChars="200"/>
        <w:rPr>
          <w:rFonts w:hint="eastAsia"/>
          <w:b w:val="0"/>
          <w:color w:val="auto"/>
          <w:highlight w:val="none"/>
        </w:rPr>
      </w:pPr>
      <w:r>
        <w:rPr>
          <w:rFonts w:hint="eastAsia"/>
          <w:b w:val="0"/>
          <w:color w:val="auto"/>
          <w:highlight w:val="none"/>
        </w:rPr>
        <w:t xml:space="preserve">本项目实施效果较好的原因主要是管理制度完善、责任落实到位，跟踪考核机制完善且运行有效，在项目实施过程中创新管理办法，采用成本效益分析法、比较法、因素分析法、最低成本法使项目取得了良好的效果。</w:t>
      </w:r>
    </w:p>
    <w:p>
      <w:pPr>
        <w:spacing w:line="560" w:lineRule="exact"/>
        <w:ind w:firstLine="640" w:firstLineChars="200"/>
        <w:rPr>
          <w:rFonts w:ascii="楷体" w:eastAsia="楷体" w:hAnsi="楷体" w:hint="eastAsia"/>
          <w:b/>
          <w:bCs/>
          <w:color w:val="auto"/>
          <w:sz w:val="32"/>
          <w:szCs w:val="32"/>
          <w:highlight w:val="none"/>
        </w:rPr>
      </w:pPr>
      <w:r>
        <w:rPr>
          <w:rFonts w:ascii="楷体" w:eastAsia="楷体" w:hAnsi="楷体" w:hint="eastAsia"/>
          <w:b/>
          <w:bCs/>
          <w:color w:val="auto"/>
          <w:sz w:val="32"/>
          <w:szCs w:val="32"/>
          <w:highlight w:val="none"/>
        </w:rPr>
        <w:t xml:space="preserve">（二）存在的问题及原因分析</w:t>
      </w:r>
    </w:p>
    <w:p>
      <w:pPr>
        <w:spacing w:line="560" w:lineRule="exact"/>
        <w:ind w:firstLine="640" w:firstLineChars="200"/>
        <w:rPr>
          <w:rFonts w:ascii="楷体" w:eastAsia="楷体" w:hAnsi="楷体" w:hint="eastAsia"/>
          <w:color w:val="auto"/>
          <w:sz w:val="32"/>
          <w:szCs w:val="32"/>
          <w:highlight w:val="none"/>
        </w:rPr>
      </w:pPr>
      <w:r>
        <w:rPr>
          <w:rFonts w:hint="eastAsia"/>
          <w:color w:val="auto"/>
          <w:sz w:val="32"/>
          <w:highlight w:val="none"/>
        </w:rPr>
        <w:t xml:space="preserve">本项目全年预算数</w:t>
      </w:r>
      <w:r>
        <w:rPr>
          <w:rFonts w:hint="eastAsia"/>
          <w:color w:val="auto"/>
          <w:sz w:val="32"/>
          <w:highlight w:val="none"/>
          <w:lang w:val="en-US" w:eastAsia="zh-CN"/>
        </w:rPr>
        <w:t xml:space="preserve">110</w:t>
      </w:r>
      <w:r>
        <w:rPr>
          <w:rFonts w:hint="eastAsia"/>
          <w:color w:val="auto"/>
          <w:sz w:val="32"/>
          <w:highlight w:val="none"/>
        </w:rPr>
        <w:t xml:space="preserve">万元，执行数</w:t>
      </w:r>
      <w:r>
        <w:rPr>
          <w:rFonts w:hint="eastAsia"/>
          <w:color w:val="auto"/>
          <w:sz w:val="32"/>
          <w:highlight w:val="none"/>
          <w:lang w:val="en-US" w:eastAsia="zh-CN"/>
        </w:rPr>
        <w:t xml:space="preserve">43.05</w:t>
      </w:r>
      <w:r>
        <w:rPr>
          <w:rFonts w:hint="eastAsia"/>
          <w:color w:val="auto"/>
          <w:sz w:val="32"/>
          <w:highlight w:val="none"/>
        </w:rPr>
        <w:t xml:space="preserve">万元，执行率</w:t>
      </w:r>
      <w:r>
        <w:rPr>
          <w:rFonts w:hint="eastAsia"/>
          <w:color w:val="auto"/>
          <w:sz w:val="32"/>
          <w:highlight w:val="none"/>
          <w:lang w:val="en-US" w:eastAsia="zh-CN"/>
        </w:rPr>
        <w:t xml:space="preserve">39.1</w:t>
      </w:r>
      <w:r>
        <w:rPr>
          <w:rFonts w:hint="eastAsia"/>
          <w:color w:val="auto"/>
          <w:sz w:val="32"/>
          <w:highlight w:val="none"/>
        </w:rPr>
        <w:t xml:space="preserve">%，绩效指标完成率</w:t>
      </w:r>
      <w:r>
        <w:rPr>
          <w:rFonts w:hint="eastAsia"/>
          <w:color w:val="auto"/>
          <w:sz w:val="32"/>
          <w:highlight w:val="none"/>
          <w:lang w:val="en-US" w:eastAsia="zh-CN"/>
        </w:rPr>
        <w:t xml:space="preserve">85.6</w:t>
      </w:r>
      <w:r>
        <w:rPr>
          <w:rFonts w:hint="eastAsia"/>
          <w:color w:val="auto"/>
          <w:sz w:val="32"/>
          <w:highlight w:val="none"/>
        </w:rPr>
        <w:t xml:space="preserve">%，偏差率</w:t>
      </w:r>
      <w:r>
        <w:rPr>
          <w:rFonts w:hint="eastAsia"/>
          <w:color w:val="auto"/>
          <w:sz w:val="32"/>
          <w:highlight w:val="none"/>
          <w:lang w:val="en-US" w:eastAsia="zh-CN"/>
        </w:rPr>
        <w:t xml:space="preserve">46.5</w:t>
      </w:r>
      <w:r>
        <w:rPr>
          <w:rFonts w:hint="eastAsia"/>
          <w:color w:val="auto"/>
          <w:sz w:val="32"/>
          <w:highlight w:val="none"/>
        </w:rPr>
        <w:t xml:space="preserve">%。偏差原因：第三方机构未及时提供支出资料，未能按时支出。</w:t>
      </w:r>
    </w:p>
    <w:p>
      <w:pPr>
        <w:pStyle w:val="标题2"/>
        <w:keepNext w:val="0"/>
        <w:keepLines w:val="0"/>
        <w:numPr>
          <w:ilvl w:val="0"/>
          <w:numId w:val="0"/>
        </w:numPr>
        <w:spacing w:before="0" w:after="0" w:line="560" w:lineRule="exact"/>
        <w:ind w:firstLine="640" w:firstLineChars="200"/>
        <w:rPr>
          <w:rFonts w:ascii="黑体" w:eastAsia="黑体" w:hAnsi="黑体"/>
          <w:b w:val="0"/>
          <w:bCs w:val="0"/>
          <w:color w:val="auto"/>
          <w:highlight w:val="none"/>
        </w:rPr>
      </w:pPr>
      <w:r>
        <w:rPr>
          <w:rFonts w:ascii="黑体" w:eastAsia="黑体" w:hAnsi="黑体" w:hint="eastAsia"/>
          <w:b w:val="0"/>
          <w:bCs w:val="0"/>
          <w:color w:val="auto"/>
          <w:highlight w:val="none"/>
        </w:rPr>
        <w:t xml:space="preserve">六、有关建议</w:t>
      </w:r>
    </w:p>
    <w:p>
      <w:pPr>
        <w:pStyle w:val="标题1"/>
        <w:keepNext w:val="0"/>
        <w:keepLines w:val="0"/>
        <w:spacing w:before="0" w:after="0" w:line="560" w:lineRule="exact"/>
        <w:ind w:firstLine="640"/>
        <w:rPr>
          <w:rFonts w:ascii="仿宋_GB2312" w:eastAsia="仿宋_GB2312" w:hAnsi="仿宋" w:cs="宋体" w:hint="eastAsia"/>
          <w:b w:val="0"/>
          <w:color w:val="auto"/>
          <w:kern w:val="2"/>
          <w:highlight w:val="none"/>
        </w:rPr>
      </w:pPr>
      <w:r>
        <w:rPr>
          <w:rFonts w:ascii="仿宋_GB2312" w:eastAsia="仿宋_GB2312" w:hAnsi="仿宋" w:cs="宋体" w:hint="eastAsia"/>
          <w:b w:val="0"/>
          <w:color w:val="auto"/>
          <w:kern w:val="2"/>
          <w:highlight w:val="none"/>
        </w:rPr>
        <w:t xml:space="preserve">预算编制工作，认真做好预算的编制。全面编制预算项目，优先保障固定性的、相对刚性的费用支出项目，尽量压缩变动性的、有控制空间的费用项目，进一步提高预算编制的科学性、严谨性和可控性。</w:t>
      </w:r>
    </w:p>
    <w:p>
      <w:pPr>
        <w:pStyle w:val="标题1"/>
        <w:keepNext w:val="0"/>
        <w:keepLines w:val="0"/>
        <w:spacing w:before="0" w:after="0" w:line="560" w:lineRule="exact"/>
        <w:ind w:firstLine="640"/>
        <w:rPr>
          <w:rFonts w:ascii="仿宋_GB2312" w:eastAsia="仿宋_GB2312" w:hAnsi="仿宋" w:cs="宋体" w:hint="eastAsia"/>
          <w:b w:val="0"/>
          <w:color w:val="auto"/>
          <w:kern w:val="2"/>
          <w:highlight w:val="none"/>
        </w:rPr>
      </w:pPr>
      <w:r>
        <w:rPr>
          <w:rFonts w:ascii="仿宋_GB2312" w:eastAsia="仿宋_GB2312" w:hAnsi="仿宋" w:cs="宋体" w:hint="eastAsia"/>
          <w:b w:val="0"/>
          <w:color w:val="auto"/>
          <w:kern w:val="2"/>
          <w:highlight w:val="none"/>
        </w:rPr>
        <w:t xml:space="preserve">开展进度的跟踪，确保项目绩效目标的完成。规范程序，严格把关。进一步完善项目申报、审核、公示、审批等程序，严格做好项目信息公开，公开内容要及时、完整、真实，确保项目公平、公开、公正。</w:t>
      </w:r>
    </w:p>
    <w:p>
      <w:pPr>
        <w:pStyle w:val="标题1"/>
        <w:keepNext w:val="0"/>
        <w:keepLines w:val="0"/>
        <w:spacing w:before="0" w:after="0" w:line="560" w:lineRule="exact"/>
        <w:ind w:firstLine="640"/>
        <w:rPr>
          <w:rFonts w:ascii="黑体" w:hAnsi="黑体"/>
          <w:b w:val="0"/>
          <w:color w:val="auto"/>
          <w:highlight w:val="none"/>
        </w:rPr>
      </w:pPr>
      <w:r>
        <w:rPr>
          <w:rFonts w:ascii="仿宋_GB2312" w:eastAsia="仿宋_GB2312" w:hAnsi="仿宋" w:cs="宋体" w:hint="eastAsia"/>
          <w:b w:val="0"/>
          <w:color w:val="auto"/>
          <w:kern w:val="2"/>
          <w:highlight w:val="none"/>
        </w:rPr>
        <w:t xml:space="preserve">健全制度，加强督促。针对项目实施中存在的问题，进一步完善相关制度，加强督促检查，确保质量安全和建设进度；同时及时完善资料。</w:t>
      </w:r>
    </w:p>
    <w:p>
      <w:pPr>
        <w:pStyle w:val="标题2"/>
        <w:keepNext w:val="0"/>
        <w:keepLines w:val="0"/>
        <w:numPr>
          <w:ilvl w:val="0"/>
          <w:numId w:val="0"/>
        </w:numPr>
        <w:spacing w:before="0" w:after="0" w:line="560" w:lineRule="exact"/>
        <w:ind w:firstLine="640" w:firstLineChars="200"/>
        <w:rPr>
          <w:rFonts w:ascii="黑体" w:eastAsia="黑体" w:hAnsi="黑体"/>
          <w:b w:val="0"/>
          <w:bCs w:val="0"/>
          <w:color w:val="auto"/>
          <w:highlight w:val="none"/>
        </w:rPr>
      </w:pPr>
      <w:r>
        <w:rPr>
          <w:rFonts w:ascii="黑体" w:eastAsia="黑体" w:hAnsi="黑体" w:hint="eastAsia"/>
          <w:b w:val="0"/>
          <w:bCs w:val="0"/>
          <w:color w:val="auto"/>
          <w:highlight w:val="none"/>
        </w:rPr>
        <w:t xml:space="preserve">七、其他需要说明的问题</w:t>
      </w:r>
    </w:p>
    <w:p>
      <w:pPr>
        <w:pStyle w:val="标题1"/>
        <w:keepNext w:val="0"/>
        <w:keepLines w:val="0"/>
        <w:spacing w:before="0" w:after="0" w:line="560" w:lineRule="exact"/>
        <w:ind w:firstLine="640"/>
        <w:rPr>
          <w:rFonts w:ascii="仿宋_GB2312" w:eastAsia="仿宋_GB2312" w:hAnsi="仿宋" w:cs="宋体" w:hint="eastAsia"/>
          <w:b w:val="0"/>
          <w:color w:val="auto"/>
          <w:kern w:val="2"/>
          <w:highlight w:val="none"/>
          <w:lang w:val="en-US" w:eastAsia="zh-CN"/>
        </w:rPr>
      </w:pPr>
      <w:r>
        <w:rPr>
          <w:rFonts w:ascii="仿宋_GB2312" w:eastAsia="仿宋_GB2312" w:hAnsi="仿宋" w:cs="宋体" w:hint="eastAsia"/>
          <w:b w:val="0"/>
          <w:color w:val="auto"/>
          <w:kern w:val="2"/>
          <w:highlight w:val="none"/>
          <w:lang w:val="en-US" w:eastAsia="zh-CN"/>
        </w:rPr>
        <w:t xml:space="preserve">无。</w:t>
      </w:r>
    </w:p>
    <w:p>
      <w:pPr>
        <w:spacing w:line="560" w:lineRule="exact"/>
        <w:rPr>
          <w:rFonts w:ascii="仿宋_GB2312" w:hAnsi="仿宋_GB2312" w:cs="仿宋_GB2312" w:hint="eastAsia"/>
          <w:color w:val="auto"/>
          <w:sz w:val="32"/>
          <w:szCs w:val="32"/>
          <w:highlight w:val="none"/>
        </w:rPr>
      </w:pPr>
    </w:p>
    <w:p>
      <w:pPr>
        <w:spacing w:line="560" w:lineRule="exact"/>
        <w:rPr>
          <w:rFonts w:ascii="仿宋_GB2312" w:hAnsi="仿宋_GB2312" w:cs="仿宋_GB2312" w:hint="eastAsia"/>
          <w:color w:val="auto"/>
          <w:sz w:val="32"/>
          <w:szCs w:val="32"/>
          <w:highlight w:val="none"/>
        </w:rPr>
      </w:pPr>
      <w:r>
        <w:br w:type="page"/>
      </w:r>
      <w:r>
        <w:rPr>
          <w:rFonts w:ascii="仿宋_GB2312" w:hAnsi="仿宋_GB2312" w:cs="仿宋_GB2312" w:hint="eastAsia"/>
          <w:color w:val="auto"/>
          <w:sz w:val="32"/>
          <w:szCs w:val="32"/>
          <w:highlight w:val="none"/>
        </w:rPr>
        <w:t xml:space="preserve">附件1</w:t>
      </w:r>
    </w:p>
    <w:p>
      <w:pPr>
        <w:spacing w:line="560" w:lineRule="exact"/>
        <w:ind w:left="600" w:firstLine="2240" w:leftChars="200" w:firstLineChars="700"/>
        <w:rPr>
          <w:rFonts w:ascii="仿宋_GB2312" w:hAnsi="仿宋_GB2312" w:cs="仿宋_GB2312" w:hint="eastAsia"/>
          <w:color w:val="auto"/>
          <w:sz w:val="32"/>
          <w:szCs w:val="32"/>
          <w:highlight w:val="none"/>
        </w:rPr>
      </w:pPr>
      <w:r>
        <w:rPr>
          <w:rFonts w:ascii="仿宋_GB2312" w:hAnsi="仿宋_GB2312" w:cs="仿宋_GB2312" w:hint="eastAsia"/>
          <w:color w:val="auto"/>
          <w:sz w:val="32"/>
          <w:szCs w:val="32"/>
          <w:highlight w:val="none"/>
        </w:rPr>
        <w:t xml:space="preserve">绩效评价指标体系</w:t>
      </w:r>
    </w:p>
    <w:tbl>
      <w:tblPr>
        <w:tblStyle w:val="NormalTable"/>
        <w:tblW w:w="985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757"/>
        <w:gridCol w:w="1478"/>
        <w:gridCol w:w="1875"/>
        <w:gridCol w:w="3885"/>
        <w:gridCol w:w="990"/>
        <w:gridCol w:w="874"/>
      </w:tblGrid>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757"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一级指标</w:t>
            </w:r>
          </w:p>
        </w:tc>
        <w:tc>
          <w:tcPr>
            <w:tcW w:w="1478"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二级指标</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三级指标</w:t>
            </w:r>
          </w:p>
        </w:tc>
        <w:tc>
          <w:tcPr>
            <w:tcW w:w="388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指标解释</w:t>
            </w:r>
          </w:p>
        </w:tc>
        <w:tc>
          <w:tcPr>
            <w:tcW w:w="990" w:type="dxa"/>
            <w:tcBorders>
              <w:lef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分值</w:t>
            </w:r>
          </w:p>
        </w:tc>
        <w:tc>
          <w:tcPr>
            <w:tcW w:w="874" w:type="dxa"/>
            <w:shd w:val="clear" w:color="auto" w:fill="FFFFFF"/>
            <w:noWrap w:val="0"/>
            <w:vAlign w:val="center"/>
          </w:tcPr>
          <w:p>
            <w:pPr>
              <w:widowControl/>
              <w:spacing w:line="400" w:lineRule="exact"/>
              <w:jc w:val="center"/>
              <w:rPr>
                <w:rFonts w:ascii="仿宋_GB2312" w:hAnsi="仿宋_GB2312" w:cs="仿宋_GB2312" w:hint="eastAsia"/>
                <w:b/>
                <w:bCs/>
                <w:color w:val="auto"/>
                <w:kern w:val="0"/>
                <w:sz w:val="24"/>
                <w:highlight w:val="none"/>
              </w:rPr>
            </w:pPr>
            <w:r>
              <w:rPr>
                <w:rFonts w:ascii="仿宋_GB2312" w:hAnsi="仿宋_GB2312" w:cs="仿宋_GB2312" w:hint="eastAsia"/>
                <w:b/>
                <w:bCs/>
                <w:color w:val="auto"/>
                <w:kern w:val="0"/>
                <w:sz w:val="24"/>
                <w:highlight w:val="none"/>
              </w:rPr>
              <w:t xml:space="preserve">得分</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95"/>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决策</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项目立项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立项依据</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充分性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项目立项是否符合法律法规、相关政策、发展规划以及部门职责，用以反映和考核项目立项依据情况。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7"/>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立项程序</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规范性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项目申请、设立过程是否符合相关要求，用以反映和考核项目立项的规范情况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13"/>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绩效目标</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绩效目标</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合理性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项目所设定的绩效目标是否依据充分，是否符合客观实际，用以反映和考核项目绩效目标与项目实施的相符情况。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93"/>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绩效指标</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明确性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依据绩效目标设定的绩效指标是否清晰、细化、可衡量等，用以反映和考核项目绩效目标的明细化情况。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01"/>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资金投入</w:t>
            </w:r>
          </w:p>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预算编制</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科学性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项目预算编制是否经过科学论证、有明确标准，资金额度与年度目标是否相适应，用以反映和考核项目预算编制的科学性、合理性情况。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4"/>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资金分配</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合理性</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项目预算资金分配是否有测算依据，与补助单位或地方实际是否相适应，用以反映和考核项目预算资金分配的科学性、合理性情况。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8"/>
          <w:jc w:val="center"/>
        </w:trPr>
        <w:tc>
          <w:tcPr>
            <w:tcW w:w="757" w:type="dxa"/>
            <w:vMerge w:val="restart"/>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过程</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资金管理</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资金到位率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实际到位资金与预算资金的比率，用以反映和考核资金落实情况对项目实施的总体保障程度。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4</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82"/>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预算执行率</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项目预算资金是否按照计划执行，用以反映或考核项目预算执行情况</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5</w:t>
            </w:r>
          </w:p>
        </w:tc>
        <w:tc>
          <w:tcPr>
            <w:tcW w:w="874" w:type="dxa"/>
            <w:tcBorders>
              <w:bottom w:val="single" w:sz="4" w:space="0" w:color="auto"/>
            </w:tcBorders>
            <w:shd w:val="clear" w:color="auto" w:fill="FFFFFF"/>
            <w:noWrap w:val="0"/>
            <w:vAlign w:val="center"/>
          </w:tcPr>
          <w:p>
            <w:pPr>
              <w:spacing w:line="400" w:lineRule="exact"/>
              <w:jc w:val="center"/>
              <w:rPr>
                <w:rFonts w:ascii="仿宋_GB2312" w:eastAsia="仿宋_GB2312" w:hAnsi="仿宋_GB2312" w:cs="仿宋_GB2312" w:hint="default"/>
                <w:color w:val="auto"/>
                <w:sz w:val="24"/>
                <w:highlight w:val="none"/>
                <w:lang w:val="en-US" w:eastAsia="zh-CN"/>
              </w:rPr>
            </w:pPr>
            <w:r>
              <w:rPr>
                <w:rFonts w:ascii="仿宋_GB2312" w:hAnsi="仿宋_GB2312" w:cs="仿宋_GB2312" w:hint="eastAsia"/>
                <w:color w:val="auto"/>
                <w:sz w:val="24"/>
                <w:highlight w:val="none"/>
                <w:lang w:val="en-US" w:eastAsia="zh-CN"/>
              </w:rPr>
              <w:t xml:space="preserve">1.95</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7"/>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资金管理</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资金使用</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合规性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项目资金使用是否符合相关的财务管理制度规定，用以反映和考核项目资金的规范运行情况。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86"/>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组织实施</w:t>
            </w:r>
          </w:p>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管理制度</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健全性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项目实施单位的财务和业务管理制度是否健全，用以反映和考核财务和业务管理制度对项目顺利实施的保障情况。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3</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77"/>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制度执行</w:t>
            </w:r>
          </w:p>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有效性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项目实施是否符合相关管理规定，用以反映和考核相关管理制度的有效执行情况。</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w:t>
            </w:r>
          </w:p>
        </w:tc>
        <w:tc>
          <w:tcPr>
            <w:tcW w:w="874" w:type="dxa"/>
            <w:tcBorders>
              <w:bottom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36"/>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w:t>
            </w: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产出数量</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实际完成率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项目实施的实际产出数与计划产出数的比率，用以反映和考核项目产出数量目标的实现程度。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4"/>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产出质量</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质量达标率</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项目完成的质量达标产出数与实际产出数的比率，用以反映和考核项目产出质量目标的实现程度。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09"/>
          <w:jc w:val="center"/>
        </w:trPr>
        <w:tc>
          <w:tcPr>
            <w:tcW w:w="757" w:type="dxa"/>
            <w:vMerge/>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产出时效</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完成及时性</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项目实际完成时间与计划完成时间的比较，用以反映和考核项目产出时效目标的实现程度。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8</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16"/>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产出成本</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成本节约率</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完成项目计划工作目标的实际节约成本与计划成本的比率，用以反映和考核项目的成本节约程度。</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7</w:t>
            </w:r>
          </w:p>
        </w:tc>
        <w:tc>
          <w:tcPr>
            <w:tcW w:w="874" w:type="dxa"/>
            <w:shd w:val="clear" w:color="auto" w:fill="FFFFFF"/>
            <w:noWrap w:val="0"/>
            <w:vAlign w:val="center"/>
          </w:tcPr>
          <w:p>
            <w:pPr>
              <w:spacing w:line="400" w:lineRule="exact"/>
              <w:jc w:val="center"/>
              <w:rPr>
                <w:rFonts w:ascii="仿宋_GB2312" w:eastAsia="仿宋_GB2312" w:hAnsi="仿宋_GB2312" w:cs="仿宋_GB2312" w:hint="eastAsia"/>
                <w:color w:val="auto"/>
                <w:sz w:val="24"/>
                <w:highlight w:val="none"/>
                <w:lang w:eastAsia="zh-CN"/>
              </w:rPr>
            </w:pPr>
            <w:r>
              <w:rPr>
                <w:rFonts w:ascii="仿宋_GB2312" w:hAnsi="仿宋_GB2312" w:cs="仿宋_GB2312" w:hint="eastAsia"/>
                <w:color w:val="auto"/>
                <w:sz w:val="24"/>
                <w:highlight w:val="none"/>
                <w:lang w:val="en-US" w:eastAsia="zh-CN"/>
              </w:rPr>
              <w:t xml:space="preserve">0</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05"/>
          <w:jc w:val="center"/>
        </w:trPr>
        <w:tc>
          <w:tcPr>
            <w:tcW w:w="757"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效益　</w:t>
            </w:r>
          </w:p>
        </w:tc>
        <w:tc>
          <w:tcPr>
            <w:tcW w:w="1478" w:type="dxa"/>
            <w:vMerge w:val="restart"/>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项目效益　</w:t>
            </w: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实施效益</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项目实施所产生的效益。</w:t>
            </w:r>
          </w:p>
        </w:tc>
        <w:tc>
          <w:tcPr>
            <w:tcW w:w="990" w:type="dxa"/>
            <w:tcBorders>
              <w:left w:val="single" w:sz="4" w:space="0" w:color="auto"/>
            </w:tcBorders>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20</w:t>
            </w:r>
          </w:p>
        </w:tc>
        <w:tc>
          <w:tcPr>
            <w:tcW w:w="874" w:type="dxa"/>
            <w:shd w:val="clear" w:color="auto"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20</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20"/>
          <w:jc w:val="center"/>
        </w:trPr>
        <w:tc>
          <w:tcPr>
            <w:tcW w:w="757"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478" w:type="dxa"/>
            <w:vMerge/>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p>
        </w:tc>
        <w:tc>
          <w:tcPr>
            <w:tcW w:w="1875" w:type="dxa"/>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满意度</w:t>
            </w:r>
          </w:p>
        </w:tc>
        <w:tc>
          <w:tcPr>
            <w:tcW w:w="3885" w:type="dxa"/>
            <w:tcBorders>
              <w:right w:val="single" w:sz="4" w:space="0" w:color="auto"/>
            </w:tcBorders>
            <w:shd w:val="clear" w:color="000000" w:fill="FFFFFF"/>
            <w:noWrap w:val="0"/>
            <w:vAlign w:val="top"/>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社会公众或服务对象对项目实施效果的满意程度。</w:t>
            </w:r>
          </w:p>
        </w:tc>
        <w:tc>
          <w:tcPr>
            <w:tcW w:w="990" w:type="dxa"/>
            <w:tcBorders>
              <w:left w:val="single" w:sz="4" w:space="0" w:color="auto"/>
            </w:tcBorders>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10</w:t>
            </w:r>
          </w:p>
        </w:tc>
        <w:tc>
          <w:tcPr>
            <w:tcW w:w="874" w:type="dxa"/>
            <w:shd w:val="clear" w:color="000000" w:fill="FFFFFF"/>
            <w:noWrap w:val="0"/>
            <w:vAlign w:val="center"/>
          </w:tcPr>
          <w:p>
            <w:pPr>
              <w:spacing w:line="400" w:lineRule="exact"/>
              <w:jc w:val="center"/>
              <w:rPr>
                <w:rFonts w:ascii="仿宋_GB2312" w:hAnsi="仿宋_GB2312" w:cs="仿宋_GB2312" w:hint="eastAsia"/>
                <w:color w:val="auto"/>
                <w:sz w:val="24"/>
                <w:highlight w:val="none"/>
              </w:rPr>
            </w:pPr>
            <w:r>
              <w:rPr>
                <w:rFonts w:ascii="仿宋_GB2312" w:hAnsi="仿宋_GB2312" w:cs="仿宋_GB2312" w:hint="eastAsia"/>
                <w:color w:val="auto"/>
                <w:sz w:val="24"/>
                <w:highlight w:val="none"/>
              </w:rPr>
              <w:t xml:space="preserve">10</w:t>
            </w:r>
          </w:p>
        </w:tc>
      </w:tr>
      <w:tr>
        <w:tblPrEx>
          <w:tblW w:w="98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02"/>
          <w:jc w:val="center"/>
        </w:trPr>
        <w:tc>
          <w:tcPr>
            <w:tcW w:w="4110" w:type="dxa"/>
            <w:gridSpan w:val="3"/>
            <w:tcBorders>
              <w:righ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b/>
                <w:bCs/>
                <w:color w:val="auto"/>
                <w:kern w:val="0"/>
                <w:sz w:val="24"/>
                <w:highlight w:val="none"/>
              </w:rPr>
              <w:t xml:space="preserve">总分</w:t>
            </w:r>
          </w:p>
        </w:tc>
        <w:tc>
          <w:tcPr>
            <w:tcW w:w="3885" w:type="dxa"/>
            <w:tcBorders>
              <w:right w:val="single" w:sz="4" w:space="0" w:color="auto"/>
            </w:tcBorders>
            <w:shd w:val="clear" w:color="auto" w:fill="FFFFFF"/>
            <w:noWrap w:val="0"/>
            <w:vAlign w:val="top"/>
          </w:tcPr>
          <w:p>
            <w:pPr>
              <w:widowControl/>
              <w:spacing w:line="400" w:lineRule="exact"/>
              <w:jc w:val="center"/>
              <w:rPr>
                <w:rFonts w:ascii="仿宋_GB2312" w:hAnsi="仿宋_GB2312" w:cs="仿宋_GB2312" w:hint="eastAsia"/>
                <w:color w:val="auto"/>
                <w:kern w:val="0"/>
                <w:sz w:val="24"/>
                <w:highlight w:val="none"/>
              </w:rPr>
            </w:pPr>
          </w:p>
        </w:tc>
        <w:tc>
          <w:tcPr>
            <w:tcW w:w="990" w:type="dxa"/>
            <w:tcBorders>
              <w:left w:val="single" w:sz="4" w:space="0" w:color="auto"/>
            </w:tcBorders>
            <w:shd w:val="clear" w:color="auto" w:fill="FFFFFF"/>
            <w:noWrap w:val="0"/>
            <w:vAlign w:val="center"/>
          </w:tcPr>
          <w:p>
            <w:pPr>
              <w:widowControl/>
              <w:spacing w:line="400" w:lineRule="exact"/>
              <w:jc w:val="center"/>
              <w:rPr>
                <w:rFonts w:ascii="仿宋_GB2312" w:hAnsi="仿宋_GB2312" w:cs="仿宋_GB2312" w:hint="eastAsia"/>
                <w:color w:val="auto"/>
                <w:kern w:val="0"/>
                <w:sz w:val="24"/>
                <w:highlight w:val="none"/>
              </w:rPr>
            </w:pPr>
            <w:r>
              <w:rPr>
                <w:rFonts w:ascii="仿宋_GB2312" w:hAnsi="仿宋_GB2312" w:cs="仿宋_GB2312" w:hint="eastAsia"/>
                <w:color w:val="auto"/>
                <w:kern w:val="0"/>
                <w:sz w:val="24"/>
                <w:highlight w:val="none"/>
              </w:rPr>
              <w:t xml:space="preserve">100</w:t>
            </w:r>
          </w:p>
        </w:tc>
        <w:tc>
          <w:tcPr>
            <w:tcW w:w="874" w:type="dxa"/>
            <w:shd w:val="clear" w:color="auto" w:fill="FFFFFF"/>
            <w:noWrap w:val="0"/>
            <w:vAlign w:val="center"/>
          </w:tcPr>
          <w:p>
            <w:pPr>
              <w:widowControl/>
              <w:spacing w:line="400" w:lineRule="exact"/>
              <w:jc w:val="center"/>
              <w:rPr>
                <w:rFonts w:ascii="仿宋_GB2312" w:eastAsia="仿宋_GB2312" w:hAnsi="仿宋_GB2312" w:cs="仿宋_GB2312" w:hint="default"/>
                <w:color w:val="auto"/>
                <w:kern w:val="0"/>
                <w:sz w:val="24"/>
                <w:highlight w:val="none"/>
                <w:lang w:val="en-US" w:eastAsia="zh-CN"/>
              </w:rPr>
            </w:pPr>
            <w:r>
              <w:rPr>
                <w:rFonts w:ascii="仿宋_GB2312" w:hAnsi="仿宋_GB2312" w:cs="仿宋_GB2312" w:hint="eastAsia"/>
                <w:color w:val="auto"/>
                <w:kern w:val="0"/>
                <w:sz w:val="24"/>
                <w:highlight w:val="none"/>
                <w:lang w:val="en-US" w:eastAsia="zh-CN"/>
              </w:rPr>
              <w:t xml:space="preserve">89.95</w:t>
            </w:r>
          </w:p>
        </w:tc>
      </w:tr>
    </w:tbl>
    <w:p>
      <w:pPr>
        <w:spacing w:line="560" w:lineRule="exact"/>
        <w:rPr>
          <w:rFonts w:ascii="仿宋_GB2312" w:hAnsi="仿宋_GB2312" w:cs="仿宋_GB2312" w:hint="eastAsia"/>
          <w:color w:val="auto"/>
          <w:highlight w:val="none"/>
        </w:rPr>
      </w:pPr>
    </w:p>
    <w:sectPr>
      <w:pgSz w:w="11906" w:h="16838" w:orient="portrait"/>
      <w:pgMar w:top="1928" w:right="1531" w:bottom="1701" w:left="1531" w:header="737" w:footer="851" w:gutter="0"/>
      <w:pgBorders/>
      <w:cols w:num="1" w:space="720">
        <w:col w:w="8844" w:space="720"/>
      </w:cols>
      <w:docGrid w:type="lines" w:linePitch="408"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3"/>
      <w:numFmt w:val="decimal"/>
      <w:suff w:val="nothing"/>
      <w:lvlText w:val="%1．"/>
      <w:lvlJc w:val="left"/>
      <w:rPr>
        <w:rFonts w:hint="default"/>
        <w:b/>
        <w:bCs/>
        <w:color w:val="auto"/>
      </w:rPr>
    </w:lvl>
  </w:abstractNum>
  <w:abstractNum w:abstractNumId="3">
    <w:multiLevelType w:val="singleLevel"/>
    <w:lvl w:ilvl="0">
      <w:start w:val="2"/>
      <w:numFmt w:val="decimal"/>
      <w:suff w:val="nothing"/>
      <w:lvlText w:val="%1．"/>
      <w:lvlJc w:val="left"/>
      <w:rPr>
        <w:rFonts w:hint="default"/>
        <w:b/>
        <w:bCs/>
      </w:rPr>
    </w:lvl>
  </w:abstractNum>
  <w:abstractNum w:abstractNumId="4">
    <w:multiLevelType w:val="multilevel"/>
    <w:lvl w:ilvl="0">
      <w:start w:val="1"/>
      <w:numFmt w:val="chineseCountingThousand"/>
      <w:pStyle w:val="标题2"/>
      <w:suff w:val="tab"/>
      <w:lvlText w:val="(%1)"/>
      <w:lvlJc w:val="left"/>
      <w:pPr>
        <w:ind w:left="988" w:hanging="420"/>
      </w:pPr>
      <w:rPr>
        <w:rFonts w:hint="eastAsia"/>
      </w:rPr>
    </w:lvl>
    <w:lvl w:ilvl="1">
      <w:start w:val="1"/>
      <w:numFmt w:val="lowerLetter"/>
      <w:suff w:val="tab"/>
      <w:lvlText w:val="%2)"/>
      <w:lvlJc w:val="left"/>
      <w:pPr>
        <w:ind w:left="840" w:hanging="420"/>
      </w:pPr>
      <w:rPr/>
    </w:lvl>
    <w:lvl w:ilvl="2">
      <w:start w:val="1"/>
      <w:numFmt w:val="lowerRoman"/>
      <w:suff w:val="tab"/>
      <w:lvlText w:val="%3."/>
      <w:lvlJc w:val="right"/>
      <w:pPr>
        <w:ind w:left="1260" w:hanging="420"/>
      </w:pPr>
      <w:rPr/>
    </w:lvl>
    <w:lvl w:ilvl="3">
      <w:start w:val="1"/>
      <w:numFmt w:val="decimal"/>
      <w:suff w:val="tab"/>
      <w:lvlText w:val="%4."/>
      <w:lvlJc w:val="left"/>
      <w:pPr>
        <w:ind w:left="1680" w:hanging="420"/>
      </w:pPr>
      <w:rPr/>
    </w:lvl>
    <w:lvl w:ilvl="4">
      <w:start w:val="1"/>
      <w:numFmt w:val="lowerLetter"/>
      <w:suff w:val="tab"/>
      <w:lvlText w:val="%5)"/>
      <w:lvlJc w:val="left"/>
      <w:pPr>
        <w:ind w:left="2100" w:hanging="420"/>
      </w:pPr>
      <w:rPr/>
    </w:lvl>
    <w:lvl w:ilvl="5">
      <w:start w:val="1"/>
      <w:numFmt w:val="lowerRoman"/>
      <w:suff w:val="tab"/>
      <w:lvlText w:val="%6."/>
      <w:lvlJc w:val="right"/>
      <w:pPr>
        <w:ind w:left="2520" w:hanging="420"/>
      </w:pPr>
      <w:rPr/>
    </w:lvl>
    <w:lvl w:ilvl="6">
      <w:start w:val="1"/>
      <w:numFmt w:val="decimal"/>
      <w:suff w:val="tab"/>
      <w:lvlText w:val="%7."/>
      <w:lvlJc w:val="left"/>
      <w:pPr>
        <w:ind w:left="2940" w:hanging="420"/>
      </w:pPr>
      <w:rPr/>
    </w:lvl>
    <w:lvl w:ilvl="7">
      <w:start w:val="1"/>
      <w:numFmt w:val="lowerLetter"/>
      <w:suff w:val="tab"/>
      <w:lvlText w:val="%8)"/>
      <w:lvlJc w:val="left"/>
      <w:pPr>
        <w:ind w:left="3360" w:hanging="420"/>
      </w:pPr>
      <w:rPr/>
    </w:lvl>
    <w:lvl w:ilvl="8">
      <w:start w:val="1"/>
      <w:numFmt w:val="lowerRoman"/>
      <w:suff w:val="tab"/>
      <w:lvlText w:val="%9."/>
      <w:lvlJc w:val="right"/>
      <w:pPr>
        <w:ind w:left="3780" w:hanging="420"/>
      </w:pPr>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jc w:val="both"/>
    </w:pPr>
    <w:rPr>
      <w:rFonts w:eastAsia="仿宋_GB2312"/>
      <w:kern w:val="2"/>
      <w:sz w:val="30"/>
      <w:szCs w:val="24"/>
      <w:lang w:val="en-US" w:eastAsia="zh-CN" w:bidi="ar-SA"/>
    </w:rPr>
  </w:style>
  <w:style w:type="paragraph" w:styleId="Heading1">
    <w:name w:val="Heading 1"/>
    <w:basedOn w:val="Normal"/>
    <w:next w:val="Normal"/>
    <w:link w:val="标题1字符"/>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字符"/>
    <w:qFormat/>
    <w:pPr>
      <w:keepNext/>
      <w:keepLines/>
      <w:spacing w:before="260" w:after="260" w:line="416" w:lineRule="auto"/>
      <w:outlineLvl w:val="1"/>
    </w:pPr>
    <w:rPr>
      <w:rFonts w:ascii="Cambria" w:eastAsia="宋体" w:hAnsi="Cambria" w:cs="Times New Roman"/>
      <w:b/>
      <w:bCs/>
      <w:sz w:val="32"/>
      <w:szCs w:val="32"/>
    </w:rPr>
  </w:style>
  <w:style w:type="paragraph" w:styleId="Heading3">
    <w:name w:val="Heading 3"/>
    <w:basedOn w:val="Normal"/>
    <w:next w:val="Normal"/>
    <w:uiPriority w:val="99"/>
    <w:qFormat/>
    <w:pPr>
      <w:keepNext/>
      <w:keepLines/>
      <w:ind w:firstLine="883"/>
      <w:outlineLvl w:val="2"/>
    </w:pPr>
    <w:rPr>
      <w:b/>
      <w:bCs/>
      <w:kern w:val="0"/>
      <w:szCs w:val="32"/>
    </w:rPr>
  </w:style>
  <w:style w:type="paragraph" w:styleId="Heading4">
    <w:name w:val="Heading 4"/>
    <w:basedOn w:val="Normal"/>
    <w:next w:val="Normal"/>
    <w:qFormat/>
    <w:pPr>
      <w:spacing w:before="100" w:beforeAutospacing="1" w:after="100" w:afterAutospacing="1"/>
      <w:jc w:val="left"/>
      <w:outlineLvl w:val="3"/>
    </w:pPr>
    <w:rPr>
      <w:rFonts w:ascii="宋体" w:eastAsia="宋体" w:hAnsi="宋体" w:cs="宋体" w:hint="eastAsia"/>
      <w:b/>
      <w:bCs/>
      <w:kern w:val="0"/>
      <w:sz w:val="24"/>
      <w:szCs w:val="24"/>
      <w:lang w:val="en-US" w:eastAsia="zh-CN"/>
    </w:rPr>
  </w:style>
  <w:style w:type="character" w:default="1" w:styleId="DefaultParagraphFont">
    <w:name w:val="Default Paragraph Font"/>
    <w:semiHidden/>
    <w:rPr/>
  </w:style>
  <w:style w:type="table" w:default="1" w:styleId="NormalTable">
    <w:name w:val="Normal Table"/>
    <w:semiHidden/>
    <w:rPr/>
    <w:tblPr>
      <w:tblCellMar>
        <w:top w:w="0" w:type="dxa"/>
        <w:left w:w="108" w:type="dxa"/>
        <w:bottom w:w="0" w:type="dxa"/>
        <w:right w:w="108" w:type="dxa"/>
      </w:tblCellMar>
    </w:tblPr>
  </w:style>
  <w:style w:type="paragraph" w:styleId="CommentText">
    <w:name w:val="Comment Text"/>
    <w:basedOn w:val="Normal"/>
    <w:link w:val="批注文字字符"/>
    <w:pPr>
      <w:jc w:val="left"/>
    </w:pPr>
    <w:rPr/>
  </w:style>
  <w:style w:type="paragraph" w:styleId="BodyText">
    <w:name w:val="Body Text"/>
    <w:basedOn w:val="Normal"/>
    <w:qFormat/>
    <w:rPr/>
  </w:style>
  <w:style w:type="paragraph" w:styleId="BalloonText">
    <w:name w:val="Balloon Text"/>
    <w:basedOn w:val="Normal"/>
    <w:link w:val="批注框文本字符"/>
    <w:rPr>
      <w:sz w:val="18"/>
      <w:szCs w:val="18"/>
    </w:rPr>
  </w:style>
  <w:style w:type="paragraph" w:styleId="Footer">
    <w:name w:val="Footer"/>
    <w:basedOn w:val="Normal"/>
    <w:link w:val="页脚字符"/>
    <w:pPr>
      <w:tabs>
        <w:tab w:val="center" w:pos="4153"/>
        <w:tab w:val="right" w:pos="8306"/>
      </w:tabs>
      <w:snapToGrid w:val="0"/>
      <w:jc w:val="left"/>
    </w:pPr>
    <w:rPr>
      <w:sz w:val="18"/>
      <w:szCs w:val="18"/>
    </w:rPr>
  </w:style>
  <w:style w:type="paragraph" w:styleId="Header">
    <w:name w:val="Header"/>
    <w:basedOn w:val="Normal"/>
    <w:link w:val="页眉字符"/>
    <w:pPr>
      <w:pBdr>
        <w:bottom w:val="single" w:sz="6" w:space="1" w:color="auto"/>
      </w:pBdr>
      <w:tabs>
        <w:tab w:val="center" w:pos="4153"/>
        <w:tab w:val="right" w:pos="8306"/>
      </w:tabs>
      <w:snapToGrid w:val="0"/>
      <w:jc w:val="center"/>
    </w:pPr>
    <w:rPr>
      <w:sz w:val="18"/>
      <w:szCs w:val="18"/>
    </w:rPr>
  </w:style>
  <w:style w:type="paragraph" w:styleId="CommentSubject">
    <w:name w:val="Comment Subject"/>
    <w:basedOn w:val="CommentText"/>
    <w:next w:val="CommentText"/>
    <w:link w:val="批注主题字符"/>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CommentReference">
    <w:name w:val="Comment Reference"/>
    <w:rPr>
      <w:sz w:val="21"/>
      <w:szCs w:val="21"/>
    </w:rPr>
  </w:style>
  <w:style w:type="character" w:customStyle="1" w:styleId="标题1字符">
    <w:name w:val="标题 1 字符"/>
    <w:link w:val="Heading1"/>
    <w:rPr>
      <w:rFonts w:eastAsia="仿宋_GB2312"/>
      <w:b/>
      <w:bCs/>
      <w:kern w:val="44"/>
      <w:sz w:val="44"/>
      <w:szCs w:val="44"/>
    </w:rPr>
  </w:style>
  <w:style w:type="character" w:customStyle="1" w:styleId="标题2字符">
    <w:name w:val="标题 2 字符"/>
    <w:link w:val="Heading2"/>
    <w:semiHidden/>
    <w:rPr>
      <w:rFonts w:ascii="Cambria" w:eastAsia="宋体" w:hAnsi="Cambria" w:cs="Times New Roman"/>
      <w:b/>
      <w:bCs/>
      <w:kern w:val="2"/>
      <w:sz w:val="32"/>
      <w:szCs w:val="32"/>
    </w:rPr>
  </w:style>
  <w:style w:type="character" w:customStyle="1" w:styleId="批注文字字符">
    <w:name w:val="批注文字 字符"/>
    <w:link w:val="CommentText"/>
    <w:rPr>
      <w:rFonts w:eastAsia="仿宋_GB2312"/>
      <w:kern w:val="2"/>
      <w:sz w:val="30"/>
      <w:szCs w:val="24"/>
    </w:rPr>
  </w:style>
  <w:style w:type="character" w:customStyle="1" w:styleId="批注框文本字符">
    <w:name w:val="批注框文本 字符"/>
    <w:link w:val="BalloonText"/>
    <w:rPr>
      <w:rFonts w:eastAsia="仿宋_GB2312"/>
      <w:kern w:val="2"/>
      <w:sz w:val="18"/>
      <w:szCs w:val="18"/>
    </w:rPr>
  </w:style>
  <w:style w:type="character" w:customStyle="1" w:styleId="页脚字符">
    <w:name w:val="页脚 字符"/>
    <w:link w:val="Footer"/>
    <w:rPr>
      <w:rFonts w:eastAsia="仿宋_GB2312"/>
      <w:kern w:val="2"/>
      <w:sz w:val="18"/>
      <w:szCs w:val="18"/>
    </w:rPr>
  </w:style>
  <w:style w:type="character" w:customStyle="1" w:styleId="页眉字符">
    <w:name w:val="页眉 字符"/>
    <w:link w:val="Header"/>
    <w:rPr>
      <w:rFonts w:eastAsia="仿宋_GB2312"/>
      <w:kern w:val="2"/>
      <w:sz w:val="18"/>
      <w:szCs w:val="18"/>
    </w:rPr>
  </w:style>
  <w:style w:type="character" w:customStyle="1" w:styleId="批注主题字符">
    <w:name w:val="批注主题 字符"/>
    <w:link w:val="CommentSubject"/>
    <w:rPr>
      <w:rFonts w:eastAsia="仿宋_GB2312"/>
      <w:b/>
      <w:bCs/>
      <w:kern w:val="2"/>
      <w:sz w:val="30"/>
      <w:szCs w:val="24"/>
    </w:rPr>
  </w:style>
  <w:style w:type="character" w:customStyle="1" w:styleId="Bodytext|1_">
    <w:name w:val="Body text|1_"/>
    <w:link w:val="Bodytext|1"/>
    <w:rPr>
      <w:rFonts w:ascii="宋体" w:hAnsi="宋体" w:cs="宋体"/>
      <w:kern w:val="2"/>
      <w:sz w:val="30"/>
      <w:szCs w:val="30"/>
      <w:lang w:val="zh-TW" w:eastAsia="zh-TW" w:bidi="zh-TW"/>
    </w:rPr>
  </w:style>
  <w:style w:type="paragraph" w:customStyle="1" w:styleId="Bodytext|1">
    <w:name w:val="Body text|1"/>
    <w:basedOn w:val="Normal"/>
    <w:link w:val="Bodytext|1_"/>
    <w:qFormat/>
    <w:pPr>
      <w:spacing w:line="420" w:lineRule="auto"/>
      <w:ind w:firstLine="400"/>
    </w:pPr>
    <w:rPr>
      <w:rFonts w:ascii="宋体" w:eastAsia="宋体" w:hAnsi="宋体" w:cs="宋体"/>
      <w:szCs w:val="30"/>
      <w:lang w:val="zh-TW" w:eastAsia="zh-TW" w:bidi="zh-TW"/>
    </w:rPr>
  </w:style>
  <w:style w:type="character" w:customStyle="1" w:styleId="闻政-正文三级标题Char">
    <w:name w:val="闻政-正文三级标题 Char"/>
    <w:link w:val="闻政-正文三级标题"/>
    <w:uiPriority w:val="3"/>
    <w:rPr>
      <w:rFonts w:eastAsia="仿宋_GB2312"/>
      <w:b/>
      <w:snapToGrid w:val="0"/>
      <w:sz w:val="28"/>
      <w:szCs w:val="28"/>
    </w:rPr>
  </w:style>
  <w:style w:type="paragraph" w:customStyle="1" w:styleId="闻政-正文三级标题">
    <w:name w:val="闻政-正文三级标题"/>
    <w:basedOn w:val="Normal"/>
    <w:next w:val="Normal"/>
    <w:link w:val="闻政-正文三级标题Char"/>
    <w:uiPriority w:val="3"/>
    <w:qFormat/>
    <w:pPr>
      <w:widowControl/>
      <w:spacing w:before="120" w:after="60" w:line="500" w:lineRule="exact"/>
      <w:ind w:left="200" w:leftChars="200"/>
    </w:pPr>
    <w:rPr>
      <w:b/>
      <w:snapToGrid w:val="0"/>
      <w:kern w:val="0"/>
      <w:sz w:val="28"/>
      <w:szCs w:val="28"/>
    </w:rPr>
  </w:style>
  <w:style w:type="character" w:customStyle="1" w:styleId="闻政正文Char">
    <w:name w:val="闻政正文 Char"/>
    <w:link w:val="闻政正文"/>
    <w:qFormat/>
    <w:rPr>
      <w:rFonts w:eastAsia="仿宋_GB2312"/>
      <w:sz w:val="28"/>
      <w:szCs w:val="28"/>
    </w:rPr>
  </w:style>
  <w:style w:type="paragraph" w:customStyle="1" w:styleId="闻政正文">
    <w:name w:val="闻政正文"/>
    <w:basedOn w:val="Normal"/>
    <w:link w:val="闻政正文Char"/>
    <w:qFormat/>
    <w:pPr>
      <w:spacing w:line="500" w:lineRule="exact"/>
      <w:ind w:firstLine="560" w:firstLineChars="200"/>
    </w:pPr>
    <w:rPr>
      <w:kern w:val="0"/>
      <w:sz w:val="28"/>
      <w:szCs w:val="28"/>
    </w:rPr>
  </w:style>
  <w:style w:type="paragraph" w:customStyle="1" w:styleId="标题2">
    <w:name w:val="标题2"/>
    <w:basedOn w:val="Heading2"/>
    <w:qFormat/>
    <w:pPr>
      <w:numPr>
        <w:ilvl w:val="0"/>
        <w:numId w:val="5"/>
      </w:numPr>
      <w:spacing w:before="120" w:after="120" w:line="500" w:lineRule="exact"/>
    </w:pPr>
    <w:rPr>
      <w:rFonts w:ascii="仿宋_GB2312" w:eastAsia="仿宋_GB2312" w:cs="Times New Roman"/>
    </w:rPr>
  </w:style>
  <w:style w:type="paragraph" w:customStyle="1" w:styleId="Other|1">
    <w:name w:val="Other|1"/>
    <w:basedOn w:val="Normal"/>
    <w:qFormat/>
    <w:pPr>
      <w:spacing w:line="420" w:lineRule="auto"/>
      <w:ind w:firstLine="400"/>
    </w:pPr>
    <w:rPr>
      <w:rFonts w:ascii="宋体" w:eastAsia="宋体" w:hAnsi="宋体" w:cs="宋体"/>
      <w:szCs w:val="30"/>
      <w:lang w:val="zh-TW" w:eastAsia="zh-TW" w:bidi="zh-TW"/>
    </w:rPr>
  </w:style>
  <w:style w:type="paragraph" w:styleId="ListParagraph">
    <w:name w:val="List Paragraph"/>
    <w:basedOn w:val="Normal"/>
    <w:uiPriority w:val="34"/>
    <w:qFormat/>
    <w:pPr>
      <w:ind w:firstLine="420" w:firstLineChars="200"/>
    </w:pPr>
    <w:rPr>
      <w:rFonts w:ascii="Calibri" w:eastAsia="宋体" w:hAnsi="Calibri" w:cs="Times New Roman"/>
      <w:sz w:val="21"/>
      <w:szCs w:val="21"/>
    </w:rPr>
  </w:style>
  <w:style w:type="paragraph" w:customStyle="1" w:styleId="标题1">
    <w:name w:val="标题1"/>
    <w:basedOn w:val="Heading1"/>
    <w:next w:val="Normal"/>
    <w:qFormat/>
    <w:pPr>
      <w:spacing w:before="120" w:after="120" w:line="500" w:lineRule="exact"/>
      <w:ind w:firstLine="200" w:firstLineChars="200"/>
    </w:pPr>
    <w:rPr>
      <w:rFonts w:eastAsia="黑体"/>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theme" Target="theme/theme1.xml"/><Relationship Id="rId3" Type="http://schemas.openxmlformats.org/officeDocument/2006/relationships/styles" Target="styles.xml"/><Relationship Id="rId4" Type="http://schemas.openxmlformats.org/officeDocument/2006/relationships/webSettings" Target="webSetting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30313E4DA9634547BF78FF9C6D465C53_13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21</Pages>
  <Words>1419</Words>
  <Characters>8090</Characters>
  <Application>WPS Office_12.1.0.15120_F1E327BC-269C-435d-A152-05C5408002CA</Application>
  <DocSecurity>0</DocSecurity>
  <Lines>67</Lines>
  <Paragraphs>18</Paragraphs>
  <Company>P R C</Company>
  <CharactersWithSpaces>9491</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chenliangpingcz</dc:creator>
  <cp:lastModifiedBy>郭子歪</cp:lastModifiedBy>
  <cp:revision>11</cp:revision>
  <dcterms:created xsi:type="dcterms:W3CDTF">2020-05-07T10:25:00Z</dcterms:created>
  <dcterms:modified xsi:type="dcterms:W3CDTF">2025-09-05T07:54:02Z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30313E4DA9634547BF78FF9C6D465C53_13</vt:lpwstr>
  </property>
  <property fmtid="{D5CDD505-2E9C-101B-9397-08002B2CF9AE}" pid="4" name="KSOTemplateDocerSaveRecord">
    <vt:lpwstr>eyJoZGlkIjoiYzZkNzQ4ZWFiZmQ4NTRhOWRkZTk3YTMwMjlmMmZhYmUiLCJ1c2VySWQiOiI1NzgxMjU4NDIifQ_x003D__x003D_</vt:lpwstr>
  </property>
</Properties>
</file>