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软件服务及链路费项目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项目名称：软件服务及链路费项目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项目单位：中共阿图什市委员会网络安全和信息化委员会办公室</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主管部门：中共阿图什市委员会网络安全和信息化委员会办公室</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软件服务及链路费项目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根据</w:t>
      </w:r>
      <w:r>
        <w:rPr>
          <w:rFonts w:hint="eastAsia" w:ascii="仿宋_GB2312" w:hAnsi="仿宋_GB2312" w:cs="仿宋_GB2312"/>
          <w:color w:val="auto"/>
          <w:sz w:val="32"/>
          <w:szCs w:val="32"/>
          <w:highlight w:val="none"/>
        </w:rPr>
        <w:t>阿图什市“十四五”规划及互联网行业发展需要，按自治区、自治州网信工作要求，结合本单位互联网方面管理职能、属地管理方面工作职责，按照年度工作计划，开展软件及链路费项目。为进一步补齐网信工作短板，提升网信工作质量，达到属地互联网风清气正的工作效果，本项目立项依据为：《中华人民共和国网络安全法》《关于印发&lt;2023年全州网信工作要点&gt;及&lt;2023年全州网信工作要点分解方案&gt;的通知》（克党网信字【2023】3号）、《阿图什市委网信办2023年第十次办务会会议纪要》。</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val="en-US" w:eastAsia="zh-CN"/>
        </w:rPr>
      </w:pPr>
      <w:r>
        <w:rPr>
          <w:rFonts w:hint="eastAsia" w:ascii="仿宋_GB2312" w:hAnsi="仿宋_GB2312" w:eastAsia="仿宋_GB2312" w:cs="仿宋_GB2312"/>
          <w:color w:val="auto"/>
          <w:sz w:val="32"/>
          <w:szCs w:val="30"/>
          <w:highlight w:val="none"/>
          <w:lang w:val="en-US" w:eastAsia="zh-CN"/>
        </w:rPr>
        <w:t>根据《中华人民共和国网络安全法》《关于印发&lt;2023年全州网信工作要点&gt;及&lt;2023年全州网信工作要点分解方案&gt;的通知》（克党网信字【2023】3号）、《阿图什市委网信办2023年第十次办务会会议纪要》，本项目安排资金110万元，用于采购软件6项、网络服务7项；通过项目的实施，达到互联网畅通，属地网络安全，确保网信业务工作正常运转的效果。</w:t>
      </w:r>
      <w:r>
        <w:rPr>
          <w:rFonts w:hint="eastAsia" w:ascii="仿宋_GB2312" w:hAnsi="仿宋_GB2312" w:eastAsia="仿宋_GB2312" w:cs="仿宋_GB2312"/>
          <w:color w:val="auto"/>
          <w:sz w:val="32"/>
          <w:szCs w:val="30"/>
          <w:highlight w:val="none"/>
          <w:lang w:val="en-US" w:eastAsia="zh-CN"/>
        </w:rPr>
        <w:tab/>
      </w:r>
      <w:r>
        <w:rPr>
          <w:rFonts w:hint="eastAsia" w:ascii="仿宋_GB2312" w:hAnsi="仿宋_GB2312" w:eastAsia="仿宋_GB2312" w:cs="仿宋_GB2312"/>
          <w:color w:val="auto"/>
          <w:sz w:val="32"/>
          <w:szCs w:val="30"/>
          <w:highlight w:val="none"/>
          <w:lang w:val="en-US" w:eastAsia="zh-CN"/>
        </w:rPr>
        <w:tab/>
      </w:r>
      <w:r>
        <w:rPr>
          <w:rFonts w:hint="eastAsia" w:ascii="仿宋_GB2312" w:hAnsi="仿宋_GB2312" w:eastAsia="仿宋_GB2312" w:cs="仿宋_GB2312"/>
          <w:color w:val="auto"/>
          <w:sz w:val="32"/>
          <w:szCs w:val="30"/>
          <w:highlight w:val="none"/>
          <w:lang w:val="en-US" w:eastAsia="zh-CN"/>
        </w:rPr>
        <w:tab/>
      </w:r>
      <w:r>
        <w:rPr>
          <w:rFonts w:hint="eastAsia" w:ascii="仿宋_GB2312" w:hAnsi="仿宋_GB2312" w:eastAsia="仿宋_GB2312" w:cs="仿宋_GB2312"/>
          <w:color w:val="auto"/>
          <w:sz w:val="32"/>
          <w:szCs w:val="30"/>
          <w:highlight w:val="none"/>
          <w:lang w:val="en-US" w:eastAsia="zh-CN"/>
        </w:rPr>
        <w:tab/>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共阿图什市委员会网络安全和信息化委员会办公室,实施单位为中共阿图什市委员会网络安全和信息化委员会办公室，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110</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43.05</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39.1</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采购软件成本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37.65万元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网络服务成本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5.4万元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中华人民共和国网络安全法》《关于印发&lt;2023年全州网信工作要点&gt;及&lt;2023年全州网信工作要点分解方案&gt;的通知》（克党网信字【2023】3号）、《阿图什市委网信办2023年第十次办务会会议纪要》，本项目安排资金110万元，用于采购软件6项、网络服务7项；通过项目的实施，达到互联网畅通，属地网络安全，确保网信业务工作正常运转的效果。</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软件服务及链路费项目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软件服务及链路费项目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软件服务及链路费项目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软件服务及链路费项目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软件服务及链路费项目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0"/>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乔虹</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刘志军</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陈玉</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软件服务及链路费项目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组织管理、产出与效益效果。在此基础上，以相关的项目数据为基础，综合运用不同的评价方法，结合评价标准和评分规则，软件服务及链路费项目综合得分为89.95分，</w:t>
      </w:r>
      <w:r>
        <w:rPr>
          <w:rFonts w:hint="eastAsia" w:ascii="仿宋_GB2312" w:hAnsi="Cambria" w:eastAsia="仿宋_GB2312"/>
          <w:color w:val="auto"/>
          <w:sz w:val="32"/>
          <w:szCs w:val="32"/>
          <w:highlight w:val="none"/>
        </w:rPr>
        <w:t>评价结果为良。</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年软件服务及链路费项目评价得分情况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1"/>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13.95</w:t>
            </w:r>
          </w:p>
        </w:tc>
        <w:tc>
          <w:tcPr>
            <w:tcW w:w="3866" w:type="dxa"/>
            <w:tcBorders>
              <w:top w:val="single" w:color="auto" w:sz="4" w:space="0"/>
              <w:left w:val="single" w:color="auto" w:sz="4" w:space="0"/>
              <w:right w:val="single" w:color="auto" w:sz="4" w:space="0"/>
            </w:tcBorders>
            <w:shd w:val="clear" w:color="auto" w:fill="FFFFFF"/>
            <w:vAlign w:val="bottom"/>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预算执行率扣3.05分</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成本指标扣7分</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89.95</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软件服务及链路费项目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年已完成采购软件6项、网络服务7项等工作；通过该项目的实施达到互联网畅通，属地网络安全，确保网信业务工作正常运转的效果。</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软件服务及链路费项目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43.05</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89.95</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9"/>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软件服务及链路费项目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软件服务及链路费项目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软件服务及链路费项目</w:t>
      </w:r>
      <w:r>
        <w:rPr>
          <w:rFonts w:hint="eastAsia" w:ascii="仿宋_GB2312" w:hAnsi="仿宋_GB2312" w:cs="仿宋_GB2312"/>
          <w:color w:val="auto"/>
          <w:sz w:val="32"/>
          <w:szCs w:val="32"/>
          <w:highlight w:val="none"/>
        </w:rPr>
        <w:t>组织形式，明确了该项目经费的开支范围为软件服务及链路费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软件服务及链路费项目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数量指标为采购软件数量，预期指标值是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6项，实际完成值是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6项，指标达到预期目标。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数量指标为网络服务数量，预期指标值是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7项，实际完成值是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7项，指标达到预期目标。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质量指标为采购软件合格率，预期指标值是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成本指标为采购软件成本，预期指标值是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98万元，实际完成值是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37.65万元，指标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成本指标为网络服务成本，预期指标值是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12万元，实际完成值是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5.4万元，指标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指标为确保网信业务工作正常运转，预期指标值是有效保障，实际完成值是有效保障，指标达到预期目标。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110</w:t>
      </w:r>
      <w:r>
        <w:rPr>
          <w:rFonts w:hint="eastAsia"/>
          <w:color w:val="auto"/>
          <w:sz w:val="32"/>
          <w:highlight w:val="none"/>
        </w:rPr>
        <w:t>万元，执行数</w:t>
      </w:r>
      <w:r>
        <w:rPr>
          <w:rFonts w:hint="eastAsia"/>
          <w:color w:val="auto"/>
          <w:sz w:val="32"/>
          <w:highlight w:val="none"/>
          <w:lang w:val="en-US" w:eastAsia="zh-CN"/>
        </w:rPr>
        <w:t>43.05</w:t>
      </w:r>
      <w:r>
        <w:rPr>
          <w:rFonts w:hint="eastAsia"/>
          <w:color w:val="auto"/>
          <w:sz w:val="32"/>
          <w:highlight w:val="none"/>
        </w:rPr>
        <w:t>万元，执行率</w:t>
      </w:r>
      <w:r>
        <w:rPr>
          <w:rFonts w:hint="eastAsia"/>
          <w:color w:val="auto"/>
          <w:sz w:val="32"/>
          <w:highlight w:val="none"/>
          <w:lang w:val="en-US" w:eastAsia="zh-CN"/>
        </w:rPr>
        <w:t>39.1</w:t>
      </w:r>
      <w:r>
        <w:rPr>
          <w:rFonts w:hint="eastAsia"/>
          <w:color w:val="auto"/>
          <w:sz w:val="32"/>
          <w:highlight w:val="none"/>
        </w:rPr>
        <w:t>%，绩效指标完成率</w:t>
      </w:r>
      <w:r>
        <w:rPr>
          <w:rFonts w:hint="eastAsia"/>
          <w:color w:val="auto"/>
          <w:sz w:val="32"/>
          <w:highlight w:val="none"/>
          <w:lang w:val="en-US" w:eastAsia="zh-CN"/>
        </w:rPr>
        <w:t>85.6</w:t>
      </w:r>
      <w:r>
        <w:rPr>
          <w:rFonts w:hint="eastAsia"/>
          <w:color w:val="auto"/>
          <w:sz w:val="32"/>
          <w:highlight w:val="none"/>
        </w:rPr>
        <w:t>%，偏差率</w:t>
      </w:r>
      <w:r>
        <w:rPr>
          <w:rFonts w:hint="eastAsia"/>
          <w:color w:val="auto"/>
          <w:sz w:val="32"/>
          <w:highlight w:val="none"/>
          <w:lang w:val="en-US" w:eastAsia="zh-CN"/>
        </w:rPr>
        <w:t>46.5</w:t>
      </w:r>
      <w:r>
        <w:rPr>
          <w:rFonts w:hint="eastAsia"/>
          <w:color w:val="auto"/>
          <w:sz w:val="32"/>
          <w:highlight w:val="none"/>
        </w:rPr>
        <w:t>%。偏差原因：第三方机构未及时提供支出资料，未能按时支出。</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3"/>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1.95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89.95</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10B5F"/>
    <w:multiLevelType w:val="multilevel"/>
    <w:tmpl w:val="68D10B5F"/>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10B6A"/>
    <w:multiLevelType w:val="singleLevel"/>
    <w:tmpl w:val="68D10B6A"/>
    <w:lvl w:ilvl="0" w:tentative="0">
      <w:start w:val="3"/>
      <w:numFmt w:val="decimal"/>
      <w:suff w:val="nothing"/>
      <w:lvlText w:val="%1．"/>
      <w:lvlJc w:val="left"/>
      <w:rPr>
        <w:rFonts w:hint="default"/>
        <w:b/>
        <w:bCs/>
        <w:color w:val="auto"/>
      </w:rPr>
    </w:lvl>
  </w:abstractNum>
  <w:abstractNum w:abstractNumId="2">
    <w:nsid w:val="68D10B75"/>
    <w:multiLevelType w:val="singleLevel"/>
    <w:tmpl w:val="68D10B75"/>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6EB12059"/>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闻政正文 Char"/>
    <w:link w:val="29"/>
    <w:qFormat/>
    <w:uiPriority w:val="0"/>
    <w:rPr>
      <w:rFonts w:eastAsia="仿宋_GB2312"/>
      <w:sz w:val="28"/>
      <w:szCs w:val="28"/>
    </w:rPr>
  </w:style>
  <w:style w:type="paragraph" w:customStyle="1" w:styleId="29">
    <w:name w:val="闻政正文"/>
    <w:basedOn w:val="1"/>
    <w:link w:val="28"/>
    <w:qFormat/>
    <w:uiPriority w:val="0"/>
    <w:pPr>
      <w:spacing w:line="500" w:lineRule="exact"/>
      <w:ind w:firstLine="560" w:firstLineChars="200"/>
    </w:pPr>
    <w:rPr>
      <w:kern w:val="0"/>
      <w:sz w:val="28"/>
      <w:szCs w:val="28"/>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2">
    <w:name w:val="List Paragraph"/>
    <w:basedOn w:val="1"/>
    <w:qFormat/>
    <w:uiPriority w:val="34"/>
    <w:pPr>
      <w:ind w:firstLine="420" w:firstLineChars="200"/>
    </w:pPr>
    <w:rPr>
      <w:rFonts w:ascii="Calibri" w:hAnsi="Calibri" w:eastAsia="宋体" w:cs="Times New Roman"/>
      <w:sz w:val="21"/>
      <w:szCs w:val="21"/>
    </w:rPr>
  </w:style>
  <w:style w:type="paragraph" w:customStyle="1" w:styleId="33">
    <w:name w:val="标题1"/>
    <w:basedOn w:val="3"/>
    <w:next w:val="1"/>
    <w:qFormat/>
    <w:uiPriority w:val="0"/>
    <w:pPr>
      <w:spacing w:before="120" w:after="120" w:line="500" w:lineRule="exact"/>
      <w:ind w:firstLine="200" w:firstLineChars="200"/>
    </w:pPr>
    <w:rPr>
      <w:rFonts w:eastAsia="黑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30313E4DA9634547BF78FF9C6D465C53_13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177c7c-79eb-43b9-b3c9-ce370a9712d5}">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2025-09-22T08:39:47Z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30313E4DA9634547BF78FF9C6D465C53_13</vt:lpwstr>
  </property>
  <property fmtid="{D5CDD505-2E9C-101B-9397-08002B2CF9AE}" pid="4" name="KSOTemplateDocerSaveRecord">
    <vt:lpwstr>eyJoZGlkIjoiYzZkNzQ4ZWFiZmQ4NTRhOWRkZTk3YTMwMjlmMmZhYmUiLCJ1c2VySWQiOiI1NzgxMjU4NDIifQ_x003D__x003D_</vt:lpwstr>
  </property>
</Properties>
</file>