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阿图什市第一中学</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正确贯彻执行党和国家的教育方针、政策、法规；维护学校的教学秩序，为学生创造良好的学习环境；积极稳妥</w:t>
      </w:r>
      <w:r>
        <w:rPr>
          <w:rFonts w:hint="eastAsia" w:ascii="仿宋_GB2312" w:hAnsi="仿宋_GB2312" w:eastAsia="仿宋_GB2312"/>
          <w:sz w:val="32"/>
          <w:lang w:eastAsia="zh-CN"/>
        </w:rPr>
        <w:t>地</w:t>
      </w:r>
      <w:r>
        <w:rPr>
          <w:rFonts w:ascii="仿宋_GB2312" w:hAnsi="仿宋_GB2312" w:eastAsia="仿宋_GB2312"/>
          <w:sz w:val="32"/>
        </w:rPr>
        <w:t>推进教育改革，按教育规律办事，不断提高教育质量；根据学校规模，设置学校管理机构，建立健全各项规章制度和岗位责任制；坚持教书育人，服务育人，环境育人方针，加强对学生思想品德教育，使学生的德智体全面发展；抓好教师队伍建设，使每个教师都热心于教育事业；做好安全防范，保证学生的人身安全。</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阿图什市第一中学2024年度，实有人数446人，其中：在职人员336人，减少6人；离休人员0人，增加0人；退休人员110人</w:t>
      </w:r>
      <w:r>
        <w:rPr>
          <w:rFonts w:hint="eastAsia" w:ascii="仿宋_GB2312" w:hAnsi="仿宋_GB2312" w:eastAsia="仿宋_GB2312"/>
          <w:sz w:val="32"/>
          <w:lang w:eastAsia="zh-CN"/>
        </w:rPr>
        <w:t>，</w:t>
      </w:r>
      <w:r>
        <w:rPr>
          <w:rFonts w:ascii="仿宋_GB2312" w:hAnsi="仿宋_GB2312" w:eastAsia="仿宋_GB2312"/>
          <w:sz w:val="32"/>
        </w:rPr>
        <w:t>增加6人。</w:t>
      </w:r>
    </w:p>
    <w:p>
      <w:pPr>
        <w:spacing w:line="580" w:lineRule="exact"/>
        <w:ind w:firstLine="640"/>
        <w:jc w:val="both"/>
      </w:pPr>
      <w:r>
        <w:rPr>
          <w:rFonts w:ascii="仿宋_GB2312" w:hAnsi="仿宋_GB2312" w:eastAsia="仿宋_GB2312"/>
          <w:sz w:val="32"/>
        </w:rPr>
        <w:t>阿图什市第一中学无下属预算单位，下设9个科室，分别是：办公室、财务室、德育室、校安办、资助办、教务处、妇联办公室、团委、党纪室。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2024年度收入总计6,957.83万元，</w:t>
      </w:r>
      <w:r>
        <w:rPr>
          <w:rFonts w:ascii="仿宋_GB2312" w:hAnsi="仿宋_GB2312" w:eastAsia="仿宋_GB2312"/>
          <w:b w:val="0"/>
          <w:sz w:val="32"/>
        </w:rPr>
        <w:t>其中：本年收入合计6,905.44万元，使用非财政拨款结余（含专用结余）0.00万元，年初结转和结余52.39万元。</w:t>
      </w:r>
    </w:p>
    <w:p>
      <w:pPr>
        <w:spacing w:line="580" w:lineRule="exact"/>
        <w:ind w:firstLine="640"/>
        <w:jc w:val="both"/>
      </w:pPr>
      <w:r>
        <w:rPr>
          <w:rFonts w:ascii="仿宋_GB2312" w:hAnsi="仿宋_GB2312" w:eastAsia="仿宋_GB2312"/>
          <w:b/>
          <w:sz w:val="32"/>
        </w:rPr>
        <w:t>2024年度支出总计6,957.83万元，</w:t>
      </w:r>
      <w:r>
        <w:rPr>
          <w:rFonts w:ascii="仿宋_GB2312" w:hAnsi="仿宋_GB2312" w:eastAsia="仿宋_GB2312"/>
          <w:b w:val="0"/>
          <w:sz w:val="32"/>
        </w:rPr>
        <w:t>其中：本年支出合计6,937.44万元，结余分配0.00万元，年末结转和结余20.39万元。</w:t>
      </w:r>
    </w:p>
    <w:p>
      <w:pPr>
        <w:spacing w:line="580" w:lineRule="exact"/>
        <w:ind w:firstLine="640"/>
        <w:jc w:val="both"/>
      </w:pPr>
      <w:r>
        <w:rPr>
          <w:rFonts w:ascii="仿宋_GB2312" w:hAnsi="仿宋_GB2312" w:eastAsia="仿宋_GB2312"/>
          <w:b w:val="0"/>
          <w:sz w:val="32"/>
        </w:rPr>
        <w:t>收入支出总体与上年相比，减少13.08万元，下降0.19%，主要原因是：本年</w:t>
      </w:r>
      <w:r>
        <w:rPr>
          <w:rFonts w:hint="eastAsia" w:ascii="仿宋_GB2312" w:hAnsi="仿宋_GB2312" w:eastAsia="仿宋_GB2312"/>
          <w:b w:val="0"/>
          <w:sz w:val="32"/>
          <w:lang w:val="en-US" w:eastAsia="zh-CN"/>
        </w:rPr>
        <w:t>减少援疆资金拨付的心理咨询室，足球工作室等补助资金，导致相关经费减少</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本年收入6,905.44万元，</w:t>
      </w:r>
      <w:r>
        <w:rPr>
          <w:rFonts w:ascii="仿宋_GB2312" w:hAnsi="仿宋_GB2312" w:eastAsia="仿宋_GB2312"/>
          <w:b w:val="0"/>
          <w:sz w:val="32"/>
        </w:rPr>
        <w:t>其中：财政拨款收入6,889.43万元，占99.77%；上级补助收入0.00万元，占0.00%；事业收入0.00万元，占0.00%；经营收入0.00万元，占0.00%；附属单位上缴收入0.00万元，占0.00%；其他收入16.01万元，占0.23%。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本年支出6,937.44万元，</w:t>
      </w:r>
      <w:r>
        <w:rPr>
          <w:rFonts w:ascii="仿宋_GB2312" w:hAnsi="仿宋_GB2312" w:eastAsia="仿宋_GB2312"/>
          <w:b w:val="0"/>
          <w:sz w:val="32"/>
        </w:rPr>
        <w:t>其中：基本支出6,143.53万元，占88.56%；项目支出793.91万元，占11.44%；上缴上级支出0.00万元，占0.00%；经营支出0.00万元，占0.00%；对附属单位补助支出0.00万元，占0.00%。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2024年度财政拨款收入总计6,889.43万元，</w:t>
      </w:r>
      <w:r>
        <w:rPr>
          <w:rFonts w:ascii="仿宋_GB2312" w:hAnsi="仿宋_GB2312" w:eastAsia="仿宋_GB2312"/>
          <w:b w:val="0"/>
          <w:sz w:val="32"/>
        </w:rPr>
        <w:t>其中：年初财政拨款结转和结余0.00万元，本年财政拨款收入6,889.43万元。</w:t>
      </w:r>
      <w:r>
        <w:rPr>
          <w:rFonts w:ascii="仿宋_GB2312" w:hAnsi="仿宋_GB2312" w:eastAsia="仿宋_GB2312"/>
          <w:b/>
          <w:sz w:val="32"/>
        </w:rPr>
        <w:t>财政拨款支出总计6,889.43万元，</w:t>
      </w:r>
      <w:r>
        <w:rPr>
          <w:rFonts w:ascii="仿宋_GB2312" w:hAnsi="仿宋_GB2312" w:eastAsia="仿宋_GB2312"/>
          <w:b w:val="0"/>
          <w:sz w:val="32"/>
        </w:rPr>
        <w:t>其中：年末财政拨款结转和结余0.00万元，本年财政拨款支出6,889.43万元。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增加10.18万元，增长0.15%，主要原因是：1.本年在职人员工资调增，社保、公积金基数调增，人员经费增加。2.本年学生人数增加，公用经费项目资金较上年增加。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年初预算数6,456.67万元，决算数6,889.43万元，预决算差异率6.70%，主要原因是：年中追加人员工资、社保、公积金基数调增部分资金，导致预决算存在差异。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2024年度一般公共预算财政拨款支出6,889.43万元，</w:t>
      </w:r>
      <w:r>
        <w:rPr>
          <w:rFonts w:ascii="仿宋_GB2312" w:hAnsi="仿宋_GB2312" w:eastAsia="仿宋_GB2312"/>
          <w:b w:val="0"/>
          <w:sz w:val="32"/>
        </w:rPr>
        <w:t>占本年支出合计的99.31%。</w:t>
      </w:r>
      <w:r>
        <w:rPr>
          <w:rFonts w:ascii="仿宋_GB2312" w:hAnsi="仿宋_GB2312" w:eastAsia="仿宋_GB2312"/>
          <w:b/>
          <w:sz w:val="32"/>
        </w:rPr>
        <w:t>与上年相比，</w:t>
      </w:r>
      <w:r>
        <w:rPr>
          <w:rFonts w:ascii="仿宋_GB2312" w:hAnsi="仿宋_GB2312" w:eastAsia="仿宋_GB2312"/>
          <w:b w:val="0"/>
          <w:sz w:val="32"/>
        </w:rPr>
        <w:t>增加10.18万元，增长0.15%，主要原因是：1.本年在职人员工资调增，社保、公积金基数调增，人员经费增加。2.本年学生人数增加，公用经费项目资金较上年增加。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年初预算数6,456.67万元，决算数6,889.43万元，预决算差异率6.70%，主要原因是：年中追加人员工资、社保、公积金基数调增部分资金，导致预决算存在差异。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1.教育支出(类)6,889.43万元</w:t>
      </w:r>
      <w:r>
        <w:rPr>
          <w:rFonts w:hint="eastAsia" w:ascii="仿宋_GB2312" w:hAnsi="仿宋_GB2312" w:eastAsia="仿宋_GB2312"/>
          <w:b w:val="0"/>
          <w:sz w:val="32"/>
          <w:lang w:eastAsia="zh-CN"/>
        </w:rPr>
        <w:t>，</w:t>
      </w:r>
      <w:r>
        <w:rPr>
          <w:rFonts w:ascii="仿宋_GB2312" w:hAnsi="仿宋_GB2312" w:eastAsia="仿宋_GB2312"/>
          <w:b w:val="0"/>
          <w:sz w:val="32"/>
        </w:rPr>
        <w:t>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1.教育支出(类)普通教育(款)初中教育(项)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支出决算数为6,334.32万元，比上年决算增加1,077.35万元，增长20.49%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主要原因是：本年机关事业单位基本养老保险缴费支出、机关事业单位职业年金缴费支出、死亡抚恤、住房公积金调整至初中教育款项填列，支出决算数较上年增长。</w:t>
      </w:r>
    </w:p>
    <w:p>
      <w:pPr>
        <w:spacing w:line="580" w:lineRule="exact"/>
        <w:ind w:firstLine="640"/>
        <w:jc w:val="both"/>
      </w:pPr>
      <w:r>
        <w:rPr>
          <w:rFonts w:ascii="仿宋_GB2312" w:hAnsi="仿宋_GB2312" w:eastAsia="仿宋_GB2312"/>
          <w:b w:val="0"/>
          <w:sz w:val="32"/>
        </w:rPr>
        <w:t>2.教育支出(类)普通教育(款)高中教育(项)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支出决算数为555.11万元，比上年决算增加11.55万元，增长2.12%</w:t>
      </w:r>
      <w:r>
        <w:rPr>
          <w:rFonts w:hint="eastAsia" w:ascii="仿宋_GB2312" w:hAnsi="仿宋_GB2312" w:eastAsia="仿宋_GB2312"/>
          <w:b w:val="0"/>
          <w:sz w:val="32"/>
          <w:lang w:eastAsia="zh-CN"/>
        </w:rPr>
        <w:t>，</w:t>
      </w:r>
      <w:r>
        <w:rPr>
          <w:rFonts w:ascii="仿宋_GB2312" w:hAnsi="仿宋_GB2312" w:eastAsia="仿宋_GB2312"/>
          <w:b w:val="0"/>
          <w:sz w:val="32"/>
        </w:rPr>
        <w:t>主要原因是：1.本年在职人员工资调增，社保、公积金基数调增，人员经费增加。2.本年学生人数增加，公用经费项目资金较上年增加，支出决算数较上年增长。</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支出决算数为0.00万元，比上年决算减少510.94万元，下降100.00%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主要原因是：本年机关事业单位基本养老保险缴费支出调整至初中教育款项填列，支出决算数较上年下降。</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支出决算数为0.00万元，比上年决算减少81.21万元，下降100.00%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主要原因是：本年机关事业单位职业年金缴费支出调整至初中教育款项填列，支出决算数较上年下降。</w:t>
      </w:r>
    </w:p>
    <w:p>
      <w:pPr>
        <w:spacing w:line="580" w:lineRule="exact"/>
        <w:ind w:firstLine="640"/>
        <w:jc w:val="both"/>
      </w:pPr>
      <w:r>
        <w:rPr>
          <w:rFonts w:ascii="仿宋_GB2312" w:hAnsi="仿宋_GB2312" w:eastAsia="仿宋_GB2312"/>
          <w:b w:val="0"/>
          <w:sz w:val="32"/>
        </w:rPr>
        <w:t>5.社会保障和就业支出(类)抚恤(款)死亡抚恤(项)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支出决算数为0.00万元，比上年决算减少15.61万元，下降100.00%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主要原因是：本年死亡抚恤调整至初中教育款项填列，支出决算数较上年下降。</w:t>
      </w:r>
    </w:p>
    <w:p>
      <w:pPr>
        <w:spacing w:line="580" w:lineRule="exact"/>
        <w:ind w:firstLine="640"/>
        <w:jc w:val="both"/>
      </w:pPr>
      <w:r>
        <w:rPr>
          <w:rFonts w:ascii="仿宋_GB2312" w:hAnsi="仿宋_GB2312" w:eastAsia="仿宋_GB2312"/>
          <w:b w:val="0"/>
          <w:sz w:val="32"/>
        </w:rPr>
        <w:t>6.住房保障支出(类)住房改革支出(款)住房公积金(项)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支出决算数为0.00万元，比上年决算减少470.97万元，下降100.00%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主要原因是：本年住房公积金调整至初中教育款项填列，支出决算数较上年下降。</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2024年度一般公共预算财政拨款基本支出6,143.53万元，其中：</w:t>
      </w:r>
      <w:r>
        <w:rPr>
          <w:rFonts w:ascii="仿宋_GB2312" w:hAnsi="仿宋_GB2312" w:eastAsia="仿宋_GB2312"/>
          <w:b/>
          <w:sz w:val="32"/>
        </w:rPr>
        <w:t>人员经费6,068.65万元，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公用经费74.89万元，</w:t>
      </w:r>
      <w:r>
        <w:rPr>
          <w:rFonts w:ascii="仿宋_GB2312" w:hAnsi="仿宋_GB2312" w:eastAsia="仿宋_GB2312"/>
          <w:b w:val="0"/>
          <w:sz w:val="32"/>
        </w:rPr>
        <w:t>包括：取暖费。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2024年度阿图什市第一中学（事业单位）公用经费支出74.89万元，比上年减少37.52万元，下降33.38%，主要原因是：本年度办公用品、水电费支出减少。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2024年度政府采购支出总额298.97万元，其中：政府采购货物支出209.55万元、政府采购工程支出64.31万元、政府采购服务支出25.11万元。</w:t>
      </w:r>
    </w:p>
    <w:p>
      <w:pPr>
        <w:spacing w:line="580" w:lineRule="exact"/>
        <w:ind w:firstLine="640"/>
        <w:jc w:val="both"/>
      </w:pPr>
      <w:r>
        <w:rPr>
          <w:rFonts w:ascii="仿宋_GB2312" w:hAnsi="仿宋_GB2312" w:eastAsia="仿宋_GB2312"/>
          <w:b w:val="0"/>
          <w:sz w:val="32"/>
        </w:rPr>
        <w:t>授予中小企业合同金额298.97万元，占政府采购支出总额的100.00%，其中：授予小微企业合同金额298.97万元，占政府采购支出总额的100.00%。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34,124.75平方米，价值5,071.59万元。车辆1辆，价值31.00万元，其中：副部（省）级及以上领导用车0辆、主要负责人用车0辆、机要通信用车0辆、应急保障用车0辆、执法执勤用车0辆、特种专业技术用车0辆、离退休干部服务用车0辆、其他用车1辆，其他用车主要是：一般业务用车。单价100万元（含）以上设备（不含车辆）2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6,957.83万元，实际执行总额6,937.44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阿图什市第一中学</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6,356.02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6,957.83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6,937.44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9.97</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673.39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673.39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6,356.02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6,284.44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6,264.05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思想品德教育，使学生的德智体全面发展；抓好教师队伍建设，使每个教师都热心于教育事业；做好安全防范，保证学生的人身安全</w:t>
            </w:r>
            <w:r>
              <w:rPr>
                <w:rFonts w:hint="eastAsia" w:ascii="宋体" w:hAnsi="宋体"/>
                <w:sz w:val="16"/>
                <w:lang w:eastAsia="zh-CN"/>
              </w:rPr>
              <w:t>。</w:t>
            </w:r>
            <w:r>
              <w:rPr>
                <w:rFonts w:ascii="宋体" w:hAnsi="宋体" w:eastAsia="宋体"/>
                <w:sz w:val="16"/>
              </w:rPr>
              <w:t xml:space="preserve"> </w:t>
            </w:r>
            <w:r>
              <w:rPr>
                <w:rFonts w:ascii="宋体" w:hAnsi="宋体" w:eastAsia="宋体"/>
                <w:sz w:val="16"/>
              </w:rPr>
              <w:br w:type="textWrapping"/>
            </w:r>
            <w:r>
              <w:rPr>
                <w:rFonts w:ascii="宋体" w:hAnsi="宋体" w:eastAsia="宋体"/>
                <w:sz w:val="16"/>
              </w:rPr>
              <w:t xml:space="preserve">机构设置及人员配置：无下属预算单位，下设12个科室，编制数379，实有人数448人，在职344人，退休104人。 </w:t>
            </w:r>
            <w:r>
              <w:rPr>
                <w:rFonts w:ascii="宋体" w:hAnsi="宋体" w:eastAsia="宋体"/>
                <w:sz w:val="16"/>
              </w:rPr>
              <w:br w:type="textWrapping"/>
            </w:r>
            <w:r>
              <w:rPr>
                <w:rFonts w:ascii="宋体" w:hAnsi="宋体" w:eastAsia="宋体"/>
                <w:sz w:val="16"/>
              </w:rPr>
              <w:t xml:space="preserve">中长期规划：基于新课标和新课程改革纲要，以扎实推进素质教育为目标，加强理论学习、转变思想观念、深化教研教改工作，全面提高教学质量，不断探索贯彻启发式、探索式学习思想的课堂教学模式。大力推崇开放式的，适应新教材的新型课。强化教师岗位培训，提高教师素质，促进新教师真正从学习型到创新型，老教师从经验性大科研型的转变，扎扎实实做好每一项工作，使教研教改共同代全校基础工作蓬勃发展。 </w:t>
            </w:r>
            <w:r>
              <w:rPr>
                <w:rFonts w:ascii="宋体" w:hAnsi="宋体" w:eastAsia="宋体"/>
                <w:sz w:val="16"/>
              </w:rPr>
              <w:br w:type="textWrapping"/>
            </w:r>
            <w:r>
              <w:rPr>
                <w:rFonts w:ascii="宋体" w:hAnsi="宋体" w:eastAsia="宋体"/>
                <w:sz w:val="16"/>
              </w:rPr>
              <w:t>保障单位在职344人，退休104人的工资福利及各项补助正常发放及部门正常运转，保障单位预算项目按计划实施，便于开展检查指导学习各级各类学校工作，对全市教师开展培训工作，提高教学能力，为支教教师购买生活物资，提高支教教师幸福感、归属感，积极开展校园文化建设，培养学生身心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6937.44万元，用于保障部门在职344人，退休104人的工资福利、各项补助正常发放及部门单位正常运转，单位预算项目根据年初计划均已完成，开展检查指导学习各级各类学校工作，对全市教师开展培训工作，提高教学能力，为教师购买生活物资，提高教师幸福感、归属感，积极开展校园文化建设，培养学生身心全面发展，年度任务中完成法制教育课和安全知识讲座38场，教师培训人数262人，保障单位正常运转期限12个月等目标。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法制教育课和交通安全知识讲座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&gt;=38场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保障单位日常运转期限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bookmarkStart w:id="0" w:name="_GoBack"/>
            <w:bookmarkEnd w:id="0"/>
            <w:r>
              <w:rPr>
                <w:rFonts w:ascii="宋体" w:hAnsi="宋体" w:eastAsia="宋体"/>
                <w:sz w:val="16"/>
              </w:rPr>
              <w:t>教育巩固率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hint="eastAsia" w:ascii="仿宋_GB2312" w:hAnsi="仿宋_GB2312" w:eastAsia="仿宋_GB2312"/>
          <w:b w:val="0"/>
          <w:sz w:val="32"/>
          <w:lang w:val="en-US" w:eastAsia="zh-CN"/>
        </w:rPr>
        <w:t>本单位</w:t>
      </w:r>
      <w:r>
        <w:rPr>
          <w:rFonts w:ascii="仿宋_GB2312" w:hAnsi="仿宋_GB2312" w:eastAsia="仿宋_GB2312"/>
          <w:b w:val="0"/>
          <w:sz w:val="32"/>
        </w:rPr>
        <w:t>无其他</w:t>
      </w:r>
      <w:r>
        <w:rPr>
          <w:rFonts w:hint="eastAsia" w:ascii="仿宋_GB2312" w:hAnsi="仿宋_GB2312" w:eastAsia="仿宋_GB2312"/>
          <w:b w:val="0"/>
          <w:sz w:val="32"/>
          <w:lang w:val="en-US" w:eastAsia="zh-CN"/>
        </w:rPr>
        <w:t>需</w:t>
      </w:r>
      <w:r>
        <w:rPr>
          <w:rFonts w:ascii="仿宋_GB2312" w:hAnsi="仿宋_GB2312" w:eastAsia="仿宋_GB2312"/>
          <w:b w:val="0"/>
          <w:sz w:val="32"/>
        </w:rPr>
        <w:t>说明事项。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4405F63"/>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3A5E28"/>
    <w:rsid w:val="587E6212"/>
    <w:rsid w:val="59EE57FD"/>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15321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6141</Words>
  <Characters>6973</Characters>
  <Lines>0</Lines>
  <Paragraphs>0</Paragraphs>
  <TotalTime>5</TotalTime>
  <ScaleCrop>false</ScaleCrop>
  <LinksUpToDate>false</LinksUpToDate>
  <CharactersWithSpaces>6987</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2025-09-19T10:08:21Z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eyJoZGlkIjoiOTViNzA1OWY5YThmYzNkNTBiNjViMjFjMTI5MzRkMzEiLCJ1c2VySWQiOiI0MzE2NzY3NzkifQ==</vt:lpwstr>
  </property>
</Properties>
</file>