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B94D8F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阿图什市人民政府外事办办公室2024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4D0B7C2">
      <w:r>
        <w:br w:type="page"/>
      </w:r>
    </w:p>
    <w:p w14:paraId="362CEFFC">
      <w:pPr>
        <w:spacing w:line="640" w:lineRule="exact"/>
        <w:jc w:val="center"/>
        <w:outlineLvl w:val="1"/>
      </w:pPr>
      <w:r>
        <w:rPr>
          <w:rFonts w:ascii="黑体" w:hAnsi="黑体" w:eastAsia="黑体"/>
          <w:sz w:val="32"/>
        </w:rPr>
        <w:t>第一部分 单位概况</w:t>
      </w:r>
    </w:p>
    <w:p w14:paraId="1819B5CE">
      <w:pPr>
        <w:spacing w:line="640" w:lineRule="exact"/>
        <w:ind w:firstLine="640"/>
        <w:jc w:val="both"/>
        <w:outlineLvl w:val="2"/>
      </w:pPr>
      <w:r>
        <w:rPr>
          <w:rFonts w:ascii="黑体" w:hAnsi="黑体" w:eastAsia="黑体"/>
          <w:sz w:val="32"/>
        </w:rPr>
        <w:t>一、主要职能</w:t>
      </w:r>
    </w:p>
    <w:p w14:paraId="74F4FCF3">
      <w:pPr>
        <w:spacing w:line="580" w:lineRule="exact"/>
        <w:ind w:firstLine="640"/>
        <w:jc w:val="both"/>
      </w:pPr>
      <w:r>
        <w:rPr>
          <w:rFonts w:ascii="仿宋_GB2312" w:hAnsi="仿宋_GB2312" w:eastAsia="仿宋_GB2312"/>
          <w:sz w:val="32"/>
        </w:rPr>
        <w:t>（一）贯彻执行党和国家对外工作方针、政策和有关法律、法规以及自治区、自治州、市委、市人民政府关于外事工作的决定。</w:t>
      </w:r>
    </w:p>
    <w:p w14:paraId="20B03391">
      <w:pPr>
        <w:spacing w:line="580" w:lineRule="exact"/>
        <w:ind w:firstLine="640"/>
        <w:jc w:val="both"/>
      </w:pPr>
      <w:r>
        <w:rPr>
          <w:rFonts w:ascii="仿宋_GB2312" w:hAnsi="仿宋_GB2312" w:eastAsia="仿宋_GB2312"/>
          <w:sz w:val="32"/>
        </w:rPr>
        <w:t>（二）指导、协调阿图什市各部门外事工作，协调处理重要涉外事务。</w:t>
      </w:r>
    </w:p>
    <w:p w14:paraId="3E90BCB2">
      <w:pPr>
        <w:spacing w:line="580" w:lineRule="exact"/>
        <w:ind w:firstLine="640"/>
        <w:jc w:val="both"/>
      </w:pPr>
      <w:r>
        <w:rPr>
          <w:rFonts w:ascii="仿宋_GB2312" w:hAnsi="仿宋_GB2312" w:eastAsia="仿宋_GB2312"/>
          <w:sz w:val="32"/>
        </w:rPr>
        <w:t>（三）负责贯彻执行、协调推进阿图什市对外交流合作规划和部署，并对外事工作履行综合管理职能。</w:t>
      </w:r>
    </w:p>
    <w:p w14:paraId="3D483467">
      <w:pPr>
        <w:spacing w:line="580" w:lineRule="exact"/>
        <w:ind w:firstLine="640"/>
        <w:jc w:val="both"/>
      </w:pPr>
      <w:r>
        <w:rPr>
          <w:rFonts w:ascii="仿宋_GB2312" w:hAnsi="仿宋_GB2312" w:eastAsia="仿宋_GB2312"/>
          <w:sz w:val="32"/>
        </w:rPr>
        <w:t>（四）负责来市访问的外宾接待工作；统筹安排阿图什市领导的外事活动。</w:t>
      </w:r>
    </w:p>
    <w:p w14:paraId="06A07667">
      <w:pPr>
        <w:spacing w:line="580" w:lineRule="exact"/>
        <w:ind w:firstLine="640"/>
        <w:jc w:val="both"/>
      </w:pPr>
      <w:r>
        <w:rPr>
          <w:rFonts w:ascii="仿宋_GB2312" w:hAnsi="仿宋_GB2312" w:eastAsia="仿宋_GB2312"/>
          <w:sz w:val="32"/>
        </w:rPr>
        <w:t>（五）负责</w:t>
      </w:r>
      <w:r>
        <w:rPr>
          <w:rFonts w:hint="eastAsia" w:ascii="仿宋_GB2312" w:hAnsi="仿宋_GB2312" w:eastAsia="仿宋_GB2312"/>
          <w:sz w:val="32"/>
          <w:lang w:eastAsia="zh-CN"/>
        </w:rPr>
        <w:t>外交部</w:t>
      </w:r>
      <w:r>
        <w:rPr>
          <w:rFonts w:ascii="仿宋_GB2312" w:hAnsi="仿宋_GB2312" w:eastAsia="仿宋_GB2312"/>
          <w:sz w:val="32"/>
        </w:rPr>
        <w:t>、自治区、自治州外办授权和委托的国界勘界、联检及界碑、界桩日常管理维护等有关工作；配合自治区、自治州外办做好邻国情况调研以及与邻国地方交往、邻国地方涉外事务处理等工作。</w:t>
      </w:r>
    </w:p>
    <w:p w14:paraId="5D5058B6">
      <w:pPr>
        <w:spacing w:line="640" w:lineRule="exact"/>
        <w:ind w:firstLine="640"/>
        <w:jc w:val="both"/>
        <w:outlineLvl w:val="2"/>
      </w:pPr>
      <w:r>
        <w:rPr>
          <w:rFonts w:ascii="黑体" w:hAnsi="黑体" w:eastAsia="黑体"/>
          <w:sz w:val="32"/>
        </w:rPr>
        <w:t>二、机构设置及人员情况</w:t>
      </w:r>
    </w:p>
    <w:p w14:paraId="06AA8A3F">
      <w:pPr>
        <w:spacing w:line="580" w:lineRule="exact"/>
        <w:ind w:firstLine="640"/>
        <w:jc w:val="both"/>
      </w:pPr>
      <w:r>
        <w:rPr>
          <w:rFonts w:ascii="仿宋_GB2312" w:hAnsi="仿宋_GB2312" w:eastAsia="仿宋_GB2312"/>
          <w:sz w:val="32"/>
        </w:rPr>
        <w:t>阿图什市人民政府外事办</w:t>
      </w:r>
      <w:r>
        <w:rPr>
          <w:rFonts w:hint="eastAsia" w:ascii="仿宋_GB2312" w:hAnsi="仿宋_GB2312" w:eastAsia="仿宋_GB2312"/>
          <w:sz w:val="32"/>
          <w:lang w:eastAsia="zh-CN"/>
        </w:rPr>
        <w:t>公室</w:t>
      </w:r>
      <w:r>
        <w:rPr>
          <w:rFonts w:ascii="仿宋_GB2312" w:hAnsi="仿宋_GB2312" w:eastAsia="仿宋_GB2312"/>
          <w:sz w:val="32"/>
        </w:rPr>
        <w:t>2024年度，实有人数6人，其中：在职人员5人，增加5人；离休人员0人，增加0人；退休人员1人,增加1人。</w:t>
      </w:r>
    </w:p>
    <w:p w14:paraId="68DB5785">
      <w:pPr>
        <w:spacing w:line="580" w:lineRule="exact"/>
        <w:ind w:firstLine="640"/>
        <w:jc w:val="both"/>
      </w:pPr>
      <w:r>
        <w:rPr>
          <w:rFonts w:ascii="仿宋_GB2312" w:hAnsi="仿宋_GB2312" w:eastAsia="仿宋_GB2312"/>
          <w:sz w:val="32"/>
        </w:rPr>
        <w:t>阿图什市人民政府外事办办公室无下属预算单位，下设1个科室，分别是：综合室。</w:t>
      </w:r>
    </w:p>
    <w:p w14:paraId="605382C5">
      <w:r>
        <w:br w:type="page"/>
      </w:r>
    </w:p>
    <w:p w14:paraId="23C62D8D">
      <w:pPr>
        <w:spacing w:line="240" w:lineRule="auto"/>
        <w:jc w:val="center"/>
        <w:outlineLvl w:val="1"/>
      </w:pPr>
      <w:r>
        <w:rPr>
          <w:rFonts w:ascii="黑体" w:hAnsi="黑体" w:eastAsia="黑体"/>
          <w:sz w:val="32"/>
        </w:rPr>
        <w:t>第二部分 部门决算情况说明</w:t>
      </w:r>
    </w:p>
    <w:p w14:paraId="6D53BDBA">
      <w:pPr>
        <w:spacing w:line="640" w:lineRule="exact"/>
        <w:ind w:firstLine="640"/>
        <w:jc w:val="both"/>
        <w:outlineLvl w:val="2"/>
      </w:pPr>
      <w:r>
        <w:rPr>
          <w:rFonts w:ascii="黑体" w:hAnsi="黑体" w:eastAsia="黑体"/>
          <w:sz w:val="32"/>
        </w:rPr>
        <w:t>一、收入支出决算总体情况说明</w:t>
      </w:r>
    </w:p>
    <w:p w14:paraId="6AC916F2">
      <w:pPr>
        <w:spacing w:line="580" w:lineRule="exact"/>
        <w:ind w:firstLine="640"/>
        <w:jc w:val="both"/>
      </w:pPr>
      <w:r>
        <w:rPr>
          <w:rFonts w:ascii="仿宋_GB2312" w:hAnsi="仿宋_GB2312" w:eastAsia="仿宋_GB2312"/>
          <w:b/>
          <w:sz w:val="32"/>
        </w:rPr>
        <w:t>2024年度收入总计30.65万元，</w:t>
      </w:r>
      <w:r>
        <w:rPr>
          <w:rFonts w:ascii="仿宋_GB2312" w:hAnsi="仿宋_GB2312" w:eastAsia="仿宋_GB2312"/>
          <w:b w:val="0"/>
          <w:sz w:val="32"/>
        </w:rPr>
        <w:t>其中：本年收入合计30.65万元，使用非财政拨款结余（含专用结余）0.00万元，年初结转和结余0.00万元。</w:t>
      </w:r>
    </w:p>
    <w:p w14:paraId="2588AA1E">
      <w:pPr>
        <w:spacing w:line="580" w:lineRule="exact"/>
        <w:ind w:firstLine="640"/>
        <w:jc w:val="both"/>
      </w:pPr>
      <w:r>
        <w:rPr>
          <w:rFonts w:ascii="仿宋_GB2312" w:hAnsi="仿宋_GB2312" w:eastAsia="仿宋_GB2312"/>
          <w:b/>
          <w:sz w:val="32"/>
        </w:rPr>
        <w:t>2024年度支出总计30.65万元，</w:t>
      </w:r>
      <w:r>
        <w:rPr>
          <w:rFonts w:ascii="仿宋_GB2312" w:hAnsi="仿宋_GB2312" w:eastAsia="仿宋_GB2312"/>
          <w:b w:val="0"/>
          <w:sz w:val="32"/>
        </w:rPr>
        <w:t>其中：本年支出合计29.71万元，结余分配0.00万元，年末结转和结余0.95万元。</w:t>
      </w:r>
    </w:p>
    <w:p w14:paraId="062EFA49">
      <w:pPr>
        <w:spacing w:line="580" w:lineRule="exact"/>
        <w:ind w:firstLine="640"/>
        <w:jc w:val="both"/>
      </w:pPr>
      <w:r>
        <w:rPr>
          <w:rFonts w:ascii="仿宋_GB2312" w:hAnsi="仿宋_GB2312" w:eastAsia="仿宋_GB2312"/>
          <w:b w:val="0"/>
          <w:sz w:val="32"/>
        </w:rPr>
        <w:t>收入支出总体与上年相比，增加30.65万元，增长100.00%，主要原因是：本单位为新增单位，无上年数据，故增长100%。</w:t>
      </w:r>
    </w:p>
    <w:p w14:paraId="724132E9">
      <w:pPr>
        <w:spacing w:line="640" w:lineRule="exact"/>
        <w:ind w:firstLine="640"/>
        <w:jc w:val="both"/>
        <w:outlineLvl w:val="2"/>
      </w:pPr>
      <w:r>
        <w:rPr>
          <w:rFonts w:ascii="黑体" w:hAnsi="黑体" w:eastAsia="黑体"/>
          <w:sz w:val="32"/>
        </w:rPr>
        <w:t>二、收入决算情况说明</w:t>
      </w:r>
    </w:p>
    <w:p w14:paraId="1179A9EB">
      <w:pPr>
        <w:spacing w:line="580" w:lineRule="exact"/>
        <w:ind w:firstLine="640"/>
        <w:jc w:val="both"/>
      </w:pPr>
      <w:r>
        <w:rPr>
          <w:rFonts w:ascii="仿宋_GB2312" w:hAnsi="仿宋_GB2312" w:eastAsia="仿宋_GB2312"/>
          <w:b/>
          <w:sz w:val="32"/>
        </w:rPr>
        <w:t>本年收入30.65万元，</w:t>
      </w:r>
      <w:r>
        <w:rPr>
          <w:rFonts w:ascii="仿宋_GB2312" w:hAnsi="仿宋_GB2312" w:eastAsia="仿宋_GB2312"/>
          <w:b w:val="0"/>
          <w:sz w:val="32"/>
        </w:rPr>
        <w:t>其中：财政拨款收入29.67万元，占96.80%；上级补助收入0.00万元，占0.00%；事业收入0.00万元，占0.00%；经营收入0.00万元，占0.00%；附属单位上缴收入0.00万元，占0.00%；其他收入0.98万元，占3.20%。</w:t>
      </w:r>
    </w:p>
    <w:p w14:paraId="0FA38D5F">
      <w:pPr>
        <w:spacing w:line="640" w:lineRule="exact"/>
        <w:ind w:firstLine="640"/>
        <w:jc w:val="both"/>
        <w:outlineLvl w:val="2"/>
      </w:pPr>
      <w:r>
        <w:rPr>
          <w:rFonts w:ascii="黑体" w:hAnsi="黑体" w:eastAsia="黑体"/>
          <w:sz w:val="32"/>
        </w:rPr>
        <w:t>三、支出决算情况说明</w:t>
      </w:r>
    </w:p>
    <w:p w14:paraId="06422903">
      <w:pPr>
        <w:spacing w:line="580" w:lineRule="exact"/>
        <w:ind w:firstLine="640"/>
        <w:jc w:val="both"/>
      </w:pPr>
      <w:r>
        <w:rPr>
          <w:rFonts w:ascii="仿宋_GB2312" w:hAnsi="仿宋_GB2312" w:eastAsia="仿宋_GB2312"/>
          <w:b/>
          <w:sz w:val="32"/>
        </w:rPr>
        <w:t>本年支出29.71万元，</w:t>
      </w:r>
      <w:r>
        <w:rPr>
          <w:rFonts w:ascii="仿宋_GB2312" w:hAnsi="仿宋_GB2312" w:eastAsia="仿宋_GB2312"/>
          <w:b w:val="0"/>
          <w:sz w:val="32"/>
        </w:rPr>
        <w:t>其中：基本支出29.71万元，占100.00%；项目支出0.00万元，占0.00%；上缴上级支出0.00万元，占0.00%；经营支出0.00万元，占0.00%；对附属单位补助支出0.00万元，占0.00%。</w:t>
      </w:r>
    </w:p>
    <w:p w14:paraId="66DB5CD3">
      <w:pPr>
        <w:spacing w:line="640" w:lineRule="exact"/>
        <w:ind w:firstLine="640"/>
        <w:jc w:val="both"/>
        <w:outlineLvl w:val="2"/>
      </w:pPr>
      <w:r>
        <w:rPr>
          <w:rFonts w:ascii="黑体" w:hAnsi="黑体" w:eastAsia="黑体"/>
          <w:sz w:val="32"/>
        </w:rPr>
        <w:t>四、财政拨款收入支出决算总体情况说明</w:t>
      </w:r>
    </w:p>
    <w:p w14:paraId="25CA65DD">
      <w:pPr>
        <w:spacing w:line="580" w:lineRule="exact"/>
        <w:ind w:firstLine="640"/>
        <w:jc w:val="both"/>
      </w:pPr>
      <w:r>
        <w:rPr>
          <w:rFonts w:ascii="仿宋_GB2312" w:hAnsi="仿宋_GB2312" w:eastAsia="仿宋_GB2312"/>
          <w:b/>
          <w:sz w:val="32"/>
        </w:rPr>
        <w:t>2024年度财政拨款收入总计29.67万元，</w:t>
      </w:r>
      <w:r>
        <w:rPr>
          <w:rFonts w:ascii="仿宋_GB2312" w:hAnsi="仿宋_GB2312" w:eastAsia="仿宋_GB2312"/>
          <w:b w:val="0"/>
          <w:sz w:val="32"/>
        </w:rPr>
        <w:t>其中：年初财政拨款结转和结余0.00万元，本年财政拨款收入29.67万元。</w:t>
      </w:r>
      <w:r>
        <w:rPr>
          <w:rFonts w:ascii="仿宋_GB2312" w:hAnsi="仿宋_GB2312" w:eastAsia="仿宋_GB2312"/>
          <w:b/>
          <w:sz w:val="32"/>
        </w:rPr>
        <w:t>财政拨款支出总计29.67万元，</w:t>
      </w:r>
      <w:r>
        <w:rPr>
          <w:rFonts w:ascii="仿宋_GB2312" w:hAnsi="仿宋_GB2312" w:eastAsia="仿宋_GB2312"/>
          <w:b w:val="0"/>
          <w:sz w:val="32"/>
        </w:rPr>
        <w:t>其中：年末财政拨款结转和结余0.00万元，本年财政拨款支出29.67万元。</w:t>
      </w:r>
    </w:p>
    <w:p w14:paraId="28A5EB7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增加29.67万元，增长100.00%，主要原因是：本单位为新增单位，无上年数据，故增长100%。</w:t>
      </w:r>
      <w:r>
        <w:rPr>
          <w:rFonts w:ascii="仿宋_GB2312" w:hAnsi="仿宋_GB2312" w:eastAsia="仿宋_GB2312"/>
          <w:b/>
          <w:sz w:val="32"/>
        </w:rPr>
        <w:t>与年初预算相比，</w:t>
      </w:r>
      <w:r>
        <w:rPr>
          <w:rFonts w:ascii="仿宋_GB2312" w:hAnsi="仿宋_GB2312" w:eastAsia="仿宋_GB2312"/>
          <w:b w:val="0"/>
          <w:sz w:val="32"/>
        </w:rPr>
        <w:t>年初预算数0.00万元，决算数29.67万元，预决算差异率100.00%，主要原因是：</w:t>
      </w:r>
      <w:r>
        <w:rPr>
          <w:rFonts w:hint="eastAsia" w:ascii="仿宋_GB2312" w:hAnsi="仿宋_GB2312" w:eastAsia="仿宋_GB2312"/>
          <w:b w:val="0"/>
          <w:sz w:val="32"/>
          <w:lang w:val="en-US" w:eastAsia="zh-CN"/>
        </w:rPr>
        <w:t>年中新成立单位，年初未做预算，经费均为年中追加，导致预决算存在差异</w:t>
      </w:r>
      <w:r>
        <w:rPr>
          <w:rFonts w:ascii="仿宋_GB2312" w:hAnsi="仿宋_GB2312" w:eastAsia="仿宋_GB2312"/>
          <w:b w:val="0"/>
          <w:sz w:val="32"/>
        </w:rPr>
        <w:t>。</w:t>
      </w:r>
    </w:p>
    <w:p w14:paraId="27A31112">
      <w:pPr>
        <w:spacing w:line="640" w:lineRule="exact"/>
        <w:ind w:firstLine="640"/>
        <w:jc w:val="both"/>
        <w:outlineLvl w:val="2"/>
      </w:pPr>
      <w:r>
        <w:rPr>
          <w:rFonts w:ascii="黑体" w:hAnsi="黑体" w:eastAsia="黑体"/>
          <w:sz w:val="32"/>
        </w:rPr>
        <w:t>五、一般公共预算财政拨款支出决算情况说明</w:t>
      </w:r>
    </w:p>
    <w:p w14:paraId="5F466524">
      <w:pPr>
        <w:spacing w:line="640" w:lineRule="exact"/>
        <w:ind w:firstLine="640"/>
        <w:jc w:val="both"/>
        <w:outlineLvl w:val="3"/>
      </w:pPr>
      <w:r>
        <w:rPr>
          <w:rFonts w:ascii="楷体_GB2312" w:hAnsi="楷体_GB2312" w:eastAsia="楷体_GB2312"/>
          <w:b/>
          <w:sz w:val="32"/>
        </w:rPr>
        <w:t>（一）一般公共预算财政拨款支出决算总体情况</w:t>
      </w:r>
    </w:p>
    <w:p w14:paraId="46B9ECD9">
      <w:pPr>
        <w:spacing w:line="580" w:lineRule="exact"/>
        <w:ind w:firstLine="640"/>
        <w:jc w:val="both"/>
      </w:pPr>
      <w:r>
        <w:rPr>
          <w:rFonts w:ascii="仿宋_GB2312" w:hAnsi="仿宋_GB2312" w:eastAsia="仿宋_GB2312"/>
          <w:b/>
          <w:sz w:val="32"/>
        </w:rPr>
        <w:t>2024年度一般公共预算财政拨款支出29.67万元，</w:t>
      </w:r>
      <w:r>
        <w:rPr>
          <w:rFonts w:ascii="仿宋_GB2312" w:hAnsi="仿宋_GB2312" w:eastAsia="仿宋_GB2312"/>
          <w:b w:val="0"/>
          <w:sz w:val="32"/>
        </w:rPr>
        <w:t>占本年支出合计的99.87%。</w:t>
      </w:r>
      <w:r>
        <w:rPr>
          <w:rFonts w:ascii="仿宋_GB2312" w:hAnsi="仿宋_GB2312" w:eastAsia="仿宋_GB2312"/>
          <w:b/>
          <w:sz w:val="32"/>
        </w:rPr>
        <w:t>与上年相比，</w:t>
      </w:r>
      <w:r>
        <w:rPr>
          <w:rFonts w:ascii="仿宋_GB2312" w:hAnsi="仿宋_GB2312" w:eastAsia="仿宋_GB2312"/>
          <w:b w:val="0"/>
          <w:sz w:val="32"/>
        </w:rPr>
        <w:t>增加29.67万元，增长100.00%，主要原因是：本单位为新增单位，无上年数据，故增长100%。</w:t>
      </w:r>
      <w:r>
        <w:rPr>
          <w:rFonts w:ascii="仿宋_GB2312" w:hAnsi="仿宋_GB2312" w:eastAsia="仿宋_GB2312"/>
          <w:b/>
          <w:sz w:val="32"/>
        </w:rPr>
        <w:t>与年初预算相比,</w:t>
      </w:r>
      <w:r>
        <w:rPr>
          <w:rFonts w:ascii="仿宋_GB2312" w:hAnsi="仿宋_GB2312" w:eastAsia="仿宋_GB2312"/>
          <w:b w:val="0"/>
          <w:sz w:val="32"/>
        </w:rPr>
        <w:t>年初预算数0.00万元，决算数29.67万元，预决算差异率100.00%，主要原因是：</w:t>
      </w:r>
      <w:r>
        <w:rPr>
          <w:rFonts w:hint="eastAsia" w:ascii="仿宋_GB2312" w:hAnsi="仿宋_GB2312" w:eastAsia="仿宋_GB2312"/>
          <w:b w:val="0"/>
          <w:sz w:val="32"/>
          <w:lang w:val="en-US" w:eastAsia="zh-CN"/>
        </w:rPr>
        <w:t>年中新成立单位，年初未做预算，经费均为年中追加，导致预决算存在差异</w:t>
      </w:r>
      <w:r>
        <w:rPr>
          <w:rFonts w:ascii="仿宋_GB2312" w:hAnsi="仿宋_GB2312" w:eastAsia="仿宋_GB2312"/>
          <w:b w:val="0"/>
          <w:sz w:val="32"/>
        </w:rPr>
        <w:t>。</w:t>
      </w:r>
    </w:p>
    <w:p w14:paraId="60709C5C">
      <w:pPr>
        <w:spacing w:line="640" w:lineRule="exact"/>
        <w:ind w:firstLine="640"/>
        <w:jc w:val="both"/>
        <w:outlineLvl w:val="3"/>
      </w:pPr>
      <w:r>
        <w:rPr>
          <w:rFonts w:ascii="楷体_GB2312" w:hAnsi="楷体_GB2312" w:eastAsia="楷体_GB2312"/>
          <w:b/>
          <w:sz w:val="32"/>
        </w:rPr>
        <w:t>（二）一般公共预算财政拨款支出决算结构情况</w:t>
      </w:r>
    </w:p>
    <w:p w14:paraId="6C1E4347">
      <w:pPr>
        <w:spacing w:line="580" w:lineRule="exact"/>
        <w:ind w:firstLine="640"/>
        <w:jc w:val="both"/>
      </w:pPr>
      <w:r>
        <w:rPr>
          <w:rFonts w:ascii="仿宋_GB2312" w:hAnsi="仿宋_GB2312" w:eastAsia="仿宋_GB2312"/>
          <w:b w:val="0"/>
          <w:sz w:val="32"/>
        </w:rPr>
        <w:t>1.一般公共服务支出(类)16.26万元,占54.80%。</w:t>
      </w:r>
    </w:p>
    <w:p w14:paraId="360CEDFA">
      <w:pPr>
        <w:spacing w:line="580" w:lineRule="exact"/>
        <w:ind w:firstLine="640"/>
        <w:jc w:val="both"/>
      </w:pPr>
      <w:r>
        <w:rPr>
          <w:rFonts w:ascii="仿宋_GB2312" w:hAnsi="仿宋_GB2312" w:eastAsia="仿宋_GB2312"/>
          <w:b w:val="0"/>
          <w:sz w:val="32"/>
        </w:rPr>
        <w:t>2.社会保障和就业支出(类)10.89万元,占36.70%。</w:t>
      </w:r>
    </w:p>
    <w:p w14:paraId="6884625D">
      <w:pPr>
        <w:spacing w:line="580" w:lineRule="exact"/>
        <w:ind w:firstLine="640"/>
        <w:jc w:val="both"/>
      </w:pPr>
      <w:r>
        <w:rPr>
          <w:rFonts w:ascii="仿宋_GB2312" w:hAnsi="仿宋_GB2312" w:eastAsia="仿宋_GB2312"/>
          <w:b w:val="0"/>
          <w:sz w:val="32"/>
        </w:rPr>
        <w:t>3.卫生健康支出(类)0.87万元,占2.93%。</w:t>
      </w:r>
    </w:p>
    <w:p w14:paraId="7B6DBAC5">
      <w:pPr>
        <w:spacing w:line="580" w:lineRule="exact"/>
        <w:ind w:firstLine="640"/>
        <w:jc w:val="both"/>
      </w:pPr>
      <w:r>
        <w:rPr>
          <w:rFonts w:ascii="仿宋_GB2312" w:hAnsi="仿宋_GB2312" w:eastAsia="仿宋_GB2312"/>
          <w:b w:val="0"/>
          <w:sz w:val="32"/>
        </w:rPr>
        <w:t>4.住房保障支出(类)1.66万元,占5.59%。</w:t>
      </w:r>
    </w:p>
    <w:p w14:paraId="110BD2A8">
      <w:pPr>
        <w:spacing w:line="640" w:lineRule="exact"/>
        <w:ind w:firstLine="640"/>
        <w:jc w:val="both"/>
        <w:outlineLvl w:val="3"/>
      </w:pPr>
      <w:r>
        <w:rPr>
          <w:rFonts w:ascii="楷体_GB2312" w:hAnsi="楷体_GB2312" w:eastAsia="楷体_GB2312"/>
          <w:b/>
          <w:sz w:val="32"/>
        </w:rPr>
        <w:t>（三）一般公共预算财政拨款支出决算具体情况</w:t>
      </w:r>
    </w:p>
    <w:p w14:paraId="3A22FA8F">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1.一般公共服务支出(类)政府办公厅（室）及相关机构事务(款)行政运行(项):支出决算数为14.48万元，比上年决算增加14.48万元，增长100.00%,主要原因是：本单位为新增单位，无上年数据，故增长100%。</w:t>
      </w:r>
    </w:p>
    <w:p w14:paraId="70F38018">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1.77万元，比上年决算增加1.77万元，增长100.00%,主要原因是：本单位为新增单位，无上年数据，故增长100%。</w:t>
      </w:r>
    </w:p>
    <w:p w14:paraId="14CDB43B">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3.社会保障和就业支出(类)行政事业单位养老支出(款)行政单位离退休(项):支出决算数为8.80万元，比上年决算增加8.80万元，增长100.00%,主要原因是：本单位为新增单位，无上年数据，故增长100%。</w:t>
      </w:r>
    </w:p>
    <w:p w14:paraId="6C43CF82">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2.03万元，比上年决算增加2.03万元，增长100.00%,主要原因是：本单位为新增单位，无上年数据，故增长100%。</w:t>
      </w:r>
    </w:p>
    <w:p w14:paraId="6119013F">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5.社会保障和就业支出(类)行政事业单位养老支出(款)机关事业单位职业年金缴费支出(项):支出决算数为0.06万元，比上年决算增加0.06万元，增长100.00%,主要原因是：本单位为新增单位，无上年数据，故增长100%。</w:t>
      </w:r>
    </w:p>
    <w:p w14:paraId="0C929140">
      <w:pPr>
        <w:spacing w:line="580" w:lineRule="exact"/>
        <w:ind w:firstLine="640"/>
        <w:jc w:val="both"/>
      </w:pPr>
      <w:r>
        <w:rPr>
          <w:rFonts w:ascii="仿宋_GB2312" w:hAnsi="仿宋_GB2312" w:eastAsia="仿宋_GB2312"/>
          <w:b w:val="0"/>
          <w:sz w:val="32"/>
        </w:rPr>
        <w:t>6.卫生健康支出(类)行政事业单位医疗(款)行政单位医疗(项):支出决算数为0.87万元，比上年决算增加0.87万元，增长100.00%,主要原因是：本单位为新增单位，无上年数据，故增长100%。</w:t>
      </w:r>
    </w:p>
    <w:p w14:paraId="4D1C2B7F">
      <w:pPr>
        <w:spacing w:line="580" w:lineRule="exact"/>
        <w:ind w:firstLine="640"/>
        <w:jc w:val="both"/>
      </w:pPr>
      <w:r>
        <w:rPr>
          <w:rFonts w:ascii="仿宋_GB2312" w:hAnsi="仿宋_GB2312" w:eastAsia="仿宋_GB2312"/>
          <w:b w:val="0"/>
          <w:sz w:val="32"/>
        </w:rPr>
        <w:t>7.住房保障支出(类)住房改革支出(款)住房公积金(项):支出决算数为1.66万元，比上年决算增加1.66万元，增长100.00%,主要原因是：本单位为新增单位，无上年数据，故增长100%。</w:t>
      </w:r>
    </w:p>
    <w:p w14:paraId="5BF39A40">
      <w:pPr>
        <w:spacing w:line="640" w:lineRule="exact"/>
        <w:ind w:firstLine="640"/>
        <w:jc w:val="both"/>
        <w:outlineLvl w:val="2"/>
      </w:pPr>
      <w:r>
        <w:rPr>
          <w:rFonts w:ascii="黑体" w:hAnsi="黑体" w:eastAsia="黑体"/>
          <w:sz w:val="32"/>
        </w:rPr>
        <w:t>六、一般公共预算财政拨款基本支出决算情况说明</w:t>
      </w:r>
    </w:p>
    <w:p w14:paraId="5AAC9554">
      <w:pPr>
        <w:spacing w:line="580" w:lineRule="exact"/>
        <w:ind w:firstLine="640"/>
        <w:jc w:val="both"/>
      </w:pPr>
      <w:r>
        <w:rPr>
          <w:rFonts w:ascii="仿宋_GB2312" w:hAnsi="仿宋_GB2312" w:eastAsia="仿宋_GB2312"/>
          <w:b w:val="0"/>
          <w:sz w:val="32"/>
        </w:rPr>
        <w:t>2024年度一般公共预算财政拨款基本支出29.67万元，其中：</w:t>
      </w:r>
      <w:r>
        <w:rPr>
          <w:rFonts w:ascii="仿宋_GB2312" w:hAnsi="仿宋_GB2312" w:eastAsia="仿宋_GB2312"/>
          <w:b/>
          <w:sz w:val="32"/>
        </w:rPr>
        <w:t>人员经费29.67万元，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w:t>
      </w:r>
    </w:p>
    <w:p w14:paraId="4BD7298E">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517F648">
      <w:pPr>
        <w:spacing w:line="640" w:lineRule="exact"/>
        <w:ind w:firstLine="640"/>
        <w:jc w:val="both"/>
        <w:outlineLvl w:val="2"/>
      </w:pPr>
      <w:r>
        <w:rPr>
          <w:rFonts w:ascii="黑体" w:hAnsi="黑体" w:eastAsia="黑体"/>
          <w:sz w:val="32"/>
        </w:rPr>
        <w:t>七、政府性基金预算财政拨款收入支出决算情况说明</w:t>
      </w:r>
    </w:p>
    <w:p w14:paraId="44EB452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66DE1D0">
      <w:pPr>
        <w:spacing w:line="640" w:lineRule="exact"/>
        <w:ind w:firstLine="640"/>
        <w:jc w:val="both"/>
        <w:outlineLvl w:val="2"/>
      </w:pPr>
      <w:r>
        <w:rPr>
          <w:rFonts w:ascii="黑体" w:hAnsi="黑体" w:eastAsia="黑体"/>
          <w:sz w:val="32"/>
        </w:rPr>
        <w:t>八、国有资本经营预算财政拨款收入支出决算情况说明</w:t>
      </w:r>
    </w:p>
    <w:p w14:paraId="33DFE66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A8FF075">
      <w:pPr>
        <w:spacing w:line="640" w:lineRule="exact"/>
        <w:ind w:firstLine="640"/>
        <w:jc w:val="both"/>
        <w:outlineLvl w:val="2"/>
      </w:pPr>
      <w:r>
        <w:rPr>
          <w:rFonts w:ascii="黑体" w:hAnsi="黑体" w:eastAsia="黑体"/>
          <w:sz w:val="32"/>
        </w:rPr>
        <w:t>九、财政拨款“三公”经费支出决算情况说明</w:t>
      </w:r>
    </w:p>
    <w:p w14:paraId="7567F01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2D607874">
      <w:pPr>
        <w:spacing w:line="580" w:lineRule="exact"/>
        <w:ind w:firstLine="640"/>
        <w:jc w:val="both"/>
      </w:pPr>
      <w:r>
        <w:rPr>
          <w:rFonts w:ascii="仿宋_GB2312" w:hAnsi="仿宋_GB2312" w:eastAsia="仿宋_GB2312"/>
          <w:b/>
          <w:sz w:val="32"/>
        </w:rPr>
        <w:t>具体情况如下：</w:t>
      </w:r>
    </w:p>
    <w:p w14:paraId="3FC7726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ACDE9B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D2D36E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873F1C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04F03F1">
      <w:pPr>
        <w:spacing w:line="640" w:lineRule="exact"/>
        <w:ind w:firstLine="640"/>
        <w:jc w:val="both"/>
        <w:outlineLvl w:val="2"/>
      </w:pPr>
      <w:r>
        <w:rPr>
          <w:rFonts w:ascii="黑体" w:hAnsi="黑体" w:eastAsia="黑体"/>
          <w:sz w:val="32"/>
        </w:rPr>
        <w:t>十、其他重要事项的情况说明</w:t>
      </w:r>
    </w:p>
    <w:p w14:paraId="63A2A721">
      <w:pPr>
        <w:spacing w:line="640" w:lineRule="exact"/>
        <w:ind w:firstLine="640"/>
        <w:jc w:val="both"/>
        <w:outlineLvl w:val="3"/>
      </w:pPr>
      <w:r>
        <w:rPr>
          <w:rFonts w:ascii="楷体_GB2312" w:hAnsi="楷体_GB2312" w:eastAsia="楷体_GB2312"/>
          <w:b/>
          <w:sz w:val="32"/>
        </w:rPr>
        <w:t>（一）机关运行经费及公用经费支出情况</w:t>
      </w:r>
    </w:p>
    <w:p w14:paraId="6024A806">
      <w:pPr>
        <w:spacing w:line="580" w:lineRule="exact"/>
        <w:ind w:firstLine="640"/>
        <w:jc w:val="both"/>
      </w:pPr>
      <w:r>
        <w:rPr>
          <w:rFonts w:ascii="仿宋_GB2312" w:hAnsi="仿宋_GB2312" w:eastAsia="仿宋_GB2312"/>
          <w:b w:val="0"/>
          <w:sz w:val="32"/>
        </w:rPr>
        <w:t>2024年度阿图什市人民政府外事办办公室（行政单位和参照公务员法管理事业单位）机关运行经费支出0.00万元，比上年增加0.00万元，增长0.00%，主要原因是：本年未安排机关运行经费支出。</w:t>
      </w:r>
    </w:p>
    <w:p w14:paraId="77726329">
      <w:pPr>
        <w:spacing w:line="640" w:lineRule="exact"/>
        <w:ind w:firstLine="640"/>
        <w:jc w:val="both"/>
        <w:outlineLvl w:val="3"/>
      </w:pPr>
      <w:r>
        <w:rPr>
          <w:rFonts w:ascii="楷体_GB2312" w:hAnsi="楷体_GB2312" w:eastAsia="楷体_GB2312"/>
          <w:b/>
          <w:sz w:val="32"/>
        </w:rPr>
        <w:t>（二）政府采购情况</w:t>
      </w:r>
    </w:p>
    <w:p w14:paraId="4E5A33D6">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4632B61">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CF9EA9C">
      <w:pPr>
        <w:spacing w:line="640" w:lineRule="exact"/>
        <w:ind w:firstLine="640"/>
        <w:jc w:val="both"/>
        <w:outlineLvl w:val="3"/>
      </w:pPr>
      <w:r>
        <w:rPr>
          <w:rFonts w:ascii="楷体_GB2312" w:hAnsi="楷体_GB2312" w:eastAsia="楷体_GB2312"/>
          <w:b/>
          <w:sz w:val="32"/>
        </w:rPr>
        <w:t>（三）国有资产占用情况说明</w:t>
      </w:r>
    </w:p>
    <w:p w14:paraId="5B21E53C">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7AB6080">
      <w:pPr>
        <w:spacing w:line="640" w:lineRule="exact"/>
        <w:ind w:firstLine="640"/>
        <w:jc w:val="both"/>
        <w:outlineLvl w:val="2"/>
      </w:pPr>
      <w:r>
        <w:rPr>
          <w:rFonts w:ascii="黑体" w:hAnsi="黑体" w:eastAsia="黑体"/>
          <w:sz w:val="32"/>
        </w:rPr>
        <w:t>十一、预算绩效的情况说明</w:t>
      </w:r>
    </w:p>
    <w:p w14:paraId="02175011">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支出绩效自评表。发现的问题及原因：本单位无项目支出绩效自评表。下一步改进措施：本单位无项目支出绩效自评表。</w:t>
      </w:r>
    </w:p>
    <w:p w14:paraId="3E203E3F">
      <w:r>
        <w:br w:type="page"/>
      </w:r>
    </w:p>
    <w:p w14:paraId="114558FE">
      <w:pPr>
        <w:spacing w:line="640" w:lineRule="exact"/>
        <w:ind w:firstLine="640"/>
        <w:jc w:val="both"/>
        <w:outlineLvl w:val="2"/>
      </w:pPr>
      <w:r>
        <w:rPr>
          <w:rFonts w:ascii="黑体" w:hAnsi="黑体" w:eastAsia="黑体"/>
          <w:sz w:val="32"/>
        </w:rPr>
        <w:t>十二、其他需说明的事项</w:t>
      </w:r>
    </w:p>
    <w:p w14:paraId="4E0396CE">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2CB1B271">
      <w:pPr>
        <w:spacing w:line="580" w:lineRule="exact"/>
        <w:ind w:firstLine="640"/>
        <w:jc w:val="both"/>
      </w:pPr>
      <w:r>
        <w:rPr>
          <w:rFonts w:hint="eastAsia" w:ascii="仿宋_GB2312" w:hAnsi="仿宋_GB2312" w:eastAsia="仿宋_GB2312"/>
          <w:b w:val="0"/>
          <w:sz w:val="32"/>
        </w:rPr>
        <w:t>因2024年机构改革，阿图什市人民政府外事办办公室年中从阿图什市人民政府办公室分离出来独立核算，因此本单位无整体支出绩效自评表</w:t>
      </w:r>
      <w:bookmarkStart w:id="0" w:name="_GoBack"/>
      <w:bookmarkEnd w:id="0"/>
      <w:r>
        <w:rPr>
          <w:rFonts w:ascii="仿宋_GB2312" w:hAnsi="仿宋_GB2312" w:eastAsia="仿宋_GB2312"/>
          <w:b w:val="0"/>
          <w:sz w:val="32"/>
        </w:rPr>
        <w:t>。</w:t>
      </w:r>
    </w:p>
    <w:p w14:paraId="6297A965">
      <w:r>
        <w:br w:type="page"/>
      </w:r>
    </w:p>
    <w:p w14:paraId="261E7A1F">
      <w:pPr>
        <w:spacing w:line="240" w:lineRule="auto"/>
        <w:jc w:val="center"/>
        <w:outlineLvl w:val="1"/>
      </w:pPr>
      <w:r>
        <w:rPr>
          <w:rFonts w:ascii="黑体" w:hAnsi="黑体" w:eastAsia="黑体"/>
          <w:sz w:val="32"/>
        </w:rPr>
        <w:t>第三部分 专业名词解释</w:t>
      </w:r>
    </w:p>
    <w:p w14:paraId="709FC53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BD6BF8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5CD2E8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157816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01EC02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EE3A8C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22ED5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5ED62A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507C6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862606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9D34AC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BB409D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ABEFB6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1C5120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F7121E1">
      <w:r>
        <w:br w:type="page"/>
      </w:r>
    </w:p>
    <w:p w14:paraId="7606F6B1">
      <w:pPr>
        <w:spacing w:line="240" w:lineRule="auto"/>
        <w:jc w:val="center"/>
        <w:outlineLvl w:val="1"/>
      </w:pPr>
      <w:r>
        <w:rPr>
          <w:rFonts w:ascii="黑体" w:hAnsi="黑体" w:eastAsia="黑体"/>
          <w:sz w:val="32"/>
        </w:rPr>
        <w:t>第四部分 部门决算报表（见附表）</w:t>
      </w:r>
    </w:p>
    <w:p w14:paraId="720D44A6">
      <w:pPr>
        <w:spacing w:line="240" w:lineRule="auto"/>
        <w:ind w:firstLine="640"/>
        <w:jc w:val="both"/>
      </w:pPr>
      <w:r>
        <w:rPr>
          <w:rFonts w:ascii="仿宋_GB2312" w:hAnsi="仿宋_GB2312" w:eastAsia="仿宋_GB2312"/>
          <w:b w:val="0"/>
          <w:sz w:val="32"/>
        </w:rPr>
        <w:t>一、《收入支出决算总表》</w:t>
      </w:r>
    </w:p>
    <w:p w14:paraId="2075B6FE">
      <w:pPr>
        <w:spacing w:line="240" w:lineRule="auto"/>
        <w:ind w:firstLine="640"/>
        <w:jc w:val="both"/>
      </w:pPr>
      <w:r>
        <w:rPr>
          <w:rFonts w:ascii="仿宋_GB2312" w:hAnsi="仿宋_GB2312" w:eastAsia="仿宋_GB2312"/>
          <w:b w:val="0"/>
          <w:sz w:val="32"/>
        </w:rPr>
        <w:t>二、《收入决算表》</w:t>
      </w:r>
    </w:p>
    <w:p w14:paraId="6D60062C">
      <w:pPr>
        <w:spacing w:line="240" w:lineRule="auto"/>
        <w:ind w:firstLine="640"/>
        <w:jc w:val="both"/>
      </w:pPr>
      <w:r>
        <w:rPr>
          <w:rFonts w:ascii="仿宋_GB2312" w:hAnsi="仿宋_GB2312" w:eastAsia="仿宋_GB2312"/>
          <w:b w:val="0"/>
          <w:sz w:val="32"/>
        </w:rPr>
        <w:t>三、《支出决算表》</w:t>
      </w:r>
    </w:p>
    <w:p w14:paraId="0773E4A6">
      <w:pPr>
        <w:spacing w:line="240" w:lineRule="auto"/>
        <w:ind w:firstLine="640"/>
        <w:jc w:val="both"/>
      </w:pPr>
      <w:r>
        <w:rPr>
          <w:rFonts w:ascii="仿宋_GB2312" w:hAnsi="仿宋_GB2312" w:eastAsia="仿宋_GB2312"/>
          <w:b w:val="0"/>
          <w:sz w:val="32"/>
        </w:rPr>
        <w:t>四、《财政拨款收入支出决算总表》</w:t>
      </w:r>
    </w:p>
    <w:p w14:paraId="0EA34FFE">
      <w:pPr>
        <w:spacing w:line="240" w:lineRule="auto"/>
        <w:ind w:firstLine="640"/>
        <w:jc w:val="both"/>
      </w:pPr>
      <w:r>
        <w:rPr>
          <w:rFonts w:ascii="仿宋_GB2312" w:hAnsi="仿宋_GB2312" w:eastAsia="仿宋_GB2312"/>
          <w:b w:val="0"/>
          <w:sz w:val="32"/>
        </w:rPr>
        <w:t>五、《一般公共预算财政拨款支出决算表》</w:t>
      </w:r>
    </w:p>
    <w:p w14:paraId="67B7A0B0">
      <w:pPr>
        <w:spacing w:line="240" w:lineRule="auto"/>
        <w:ind w:firstLine="640"/>
        <w:jc w:val="both"/>
      </w:pPr>
      <w:r>
        <w:rPr>
          <w:rFonts w:ascii="仿宋_GB2312" w:hAnsi="仿宋_GB2312" w:eastAsia="仿宋_GB2312"/>
          <w:b w:val="0"/>
          <w:sz w:val="32"/>
        </w:rPr>
        <w:t>六、《一般公共预算财政拨款基本支出决算表》</w:t>
      </w:r>
    </w:p>
    <w:p w14:paraId="7F849CEC">
      <w:pPr>
        <w:spacing w:line="240" w:lineRule="auto"/>
        <w:ind w:firstLine="640"/>
        <w:jc w:val="both"/>
      </w:pPr>
      <w:r>
        <w:rPr>
          <w:rFonts w:ascii="仿宋_GB2312" w:hAnsi="仿宋_GB2312" w:eastAsia="仿宋_GB2312"/>
          <w:b w:val="0"/>
          <w:sz w:val="32"/>
        </w:rPr>
        <w:t>七、《政府性基金预算财政拨款收入支出决算表》</w:t>
      </w:r>
    </w:p>
    <w:p w14:paraId="6B761E71">
      <w:pPr>
        <w:spacing w:line="240" w:lineRule="auto"/>
        <w:ind w:firstLine="640"/>
        <w:jc w:val="both"/>
      </w:pPr>
      <w:r>
        <w:rPr>
          <w:rFonts w:ascii="仿宋_GB2312" w:hAnsi="仿宋_GB2312" w:eastAsia="仿宋_GB2312"/>
          <w:b w:val="0"/>
          <w:sz w:val="32"/>
        </w:rPr>
        <w:t>八、《国有资本经营预算财政拨款收入支出决算表》</w:t>
      </w:r>
    </w:p>
    <w:p w14:paraId="2D296A69">
      <w:pPr>
        <w:spacing w:line="240" w:lineRule="auto"/>
        <w:ind w:firstLine="640"/>
        <w:jc w:val="both"/>
      </w:pPr>
      <w:r>
        <w:rPr>
          <w:rFonts w:ascii="仿宋_GB2312" w:hAnsi="仿宋_GB2312" w:eastAsia="仿宋_GB2312"/>
          <w:b w:val="0"/>
          <w:sz w:val="32"/>
        </w:rPr>
        <w:t>九、《财政拨款“三公”经费支出决算表》</w:t>
      </w:r>
    </w:p>
    <w:p w14:paraId="43F0C740">
      <w:pPr>
        <w:spacing w:line="240" w:lineRule="auto"/>
        <w:ind w:firstLine="640"/>
        <w:jc w:val="both"/>
      </w:pPr>
    </w:p>
    <w:p w14:paraId="471FFA6A">
      <w:pPr>
        <w:spacing w:line="240" w:lineRule="auto"/>
        <w:ind w:firstLine="640"/>
        <w:jc w:val="both"/>
      </w:pPr>
    </w:p>
    <w:p w14:paraId="0DB3D338">
      <w:pPr>
        <w:spacing w:line="240" w:lineRule="auto"/>
        <w:ind w:firstLine="640"/>
        <w:jc w:val="both"/>
      </w:pPr>
    </w:p>
    <w:p w14:paraId="70ACBD8C">
      <w:pPr>
        <w:spacing w:line="240" w:lineRule="auto"/>
        <w:ind w:firstLine="640"/>
        <w:jc w:val="both"/>
      </w:pPr>
    </w:p>
    <w:p w14:paraId="454C61C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E62846"/>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DE3A07"/>
    <w:rsid w:val="52F92565"/>
    <w:rsid w:val="543D17CB"/>
    <w:rsid w:val="55DA564E"/>
    <w:rsid w:val="56E07045"/>
    <w:rsid w:val="583059FA"/>
    <w:rsid w:val="587E6212"/>
    <w:rsid w:val="5AFC6609"/>
    <w:rsid w:val="5ED2363F"/>
    <w:rsid w:val="5FA17648"/>
    <w:rsid w:val="5FD320BD"/>
    <w:rsid w:val="60DE4D57"/>
    <w:rsid w:val="613409CB"/>
    <w:rsid w:val="61A46A97"/>
    <w:rsid w:val="62DD7D21"/>
    <w:rsid w:val="635A4229"/>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5062</Words>
  <Characters>5678</Characters>
  <Lines>0</Lines>
  <Paragraphs>0</Paragraphs>
  <TotalTime>9</TotalTime>
  <ScaleCrop>false</ScaleCrop>
  <LinksUpToDate>false</LinksUpToDate>
  <CharactersWithSpaces>5688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2025-09-09T09:41:13Z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