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阿图什市地方志编纂委员会办公室2024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C81762">
      <w:r>
        <w:br w:type="page"/>
      </w:r>
    </w:p>
    <w:p w14:paraId="25A2EE7C">
      <w:pPr>
        <w:spacing w:line="640" w:lineRule="exact"/>
        <w:jc w:val="center"/>
        <w:outlineLvl w:val="1"/>
      </w:pPr>
      <w:r>
        <w:rPr>
          <w:rFonts w:ascii="黑体" w:hAnsi="黑体" w:eastAsia="黑体"/>
          <w:sz w:val="32"/>
        </w:rPr>
        <w:t>第一部分 单位概况</w:t>
      </w:r>
    </w:p>
    <w:p w14:paraId="6E51FBB2">
      <w:pPr>
        <w:spacing w:line="640" w:lineRule="exact"/>
        <w:ind w:firstLine="640"/>
        <w:jc w:val="both"/>
        <w:outlineLvl w:val="2"/>
      </w:pPr>
      <w:r>
        <w:rPr>
          <w:rFonts w:ascii="黑体" w:hAnsi="黑体" w:eastAsia="黑体"/>
          <w:sz w:val="32"/>
        </w:rPr>
        <w:t>一、主要职能</w:t>
      </w:r>
    </w:p>
    <w:p w14:paraId="3F78F48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拟定地方志工作规划和编纂方案。</w:t>
      </w:r>
    </w:p>
    <w:p w14:paraId="53EDFA7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组织编纂地方志书、地方综合年鉴。</w:t>
      </w:r>
    </w:p>
    <w:p w14:paraId="5EBA775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搜集、保存地方志文献和资料，组织整理旧志，推动地方志理论研究。</w:t>
      </w:r>
    </w:p>
    <w:p w14:paraId="1A1D8667">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组织开发利用地方志资源。</w:t>
      </w:r>
    </w:p>
    <w:p w14:paraId="03AC848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传达贯彻上级关于党史工作的指示、决定、指导全市党史征编和宣传工作。</w:t>
      </w:r>
    </w:p>
    <w:p w14:paraId="198448FF">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党史专题资料、党史人物资料、党史大事记以及其他修史任务的征集、管理和编纂工作。</w:t>
      </w:r>
    </w:p>
    <w:p w14:paraId="4D5B845F">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进行党史研究，负责党史等重要书籍的编辑和出版工作。</w:t>
      </w:r>
    </w:p>
    <w:p w14:paraId="74C8EF78">
      <w:pPr>
        <w:spacing w:line="640" w:lineRule="exact"/>
        <w:ind w:firstLine="640"/>
        <w:jc w:val="both"/>
        <w:outlineLvl w:val="2"/>
      </w:pPr>
      <w:r>
        <w:rPr>
          <w:rFonts w:ascii="黑体" w:hAnsi="黑体" w:eastAsia="黑体"/>
          <w:sz w:val="32"/>
        </w:rPr>
        <w:t>二、机构设置及人员情况</w:t>
      </w:r>
    </w:p>
    <w:p w14:paraId="16F91658">
      <w:pPr>
        <w:spacing w:line="580" w:lineRule="exact"/>
        <w:ind w:firstLine="640"/>
        <w:jc w:val="both"/>
      </w:pPr>
      <w:r>
        <w:rPr>
          <w:rFonts w:ascii="仿宋_GB2312" w:hAnsi="仿宋_GB2312" w:eastAsia="仿宋_GB2312"/>
          <w:sz w:val="32"/>
        </w:rPr>
        <w:t>阿图什市地方志编纂委员会办公室2024年度，实有人数12人，其中：在职人员5人，减少1人；离休人员0人，增加0人；退休人员7人,增加1人。</w:t>
      </w:r>
    </w:p>
    <w:p w14:paraId="5715F19A">
      <w:pPr>
        <w:spacing w:line="580" w:lineRule="exact"/>
        <w:ind w:firstLine="640"/>
        <w:jc w:val="both"/>
      </w:pPr>
      <w:r>
        <w:rPr>
          <w:rFonts w:ascii="仿宋_GB2312" w:hAnsi="仿宋_GB2312" w:eastAsia="仿宋_GB2312"/>
          <w:sz w:val="32"/>
        </w:rPr>
        <w:t>阿图什市地方志编纂委员会办公室无下属预算单位，下设1个科室，分别是：综合科。</w:t>
      </w:r>
    </w:p>
    <w:p w14:paraId="12FE118F">
      <w:r>
        <w:br w:type="page"/>
      </w:r>
    </w:p>
    <w:p w14:paraId="684B9394">
      <w:pPr>
        <w:spacing w:line="240" w:lineRule="auto"/>
        <w:jc w:val="center"/>
        <w:outlineLvl w:val="1"/>
      </w:pPr>
      <w:r>
        <w:rPr>
          <w:rFonts w:ascii="黑体" w:hAnsi="黑体" w:eastAsia="黑体"/>
          <w:sz w:val="32"/>
        </w:rPr>
        <w:t>第二部分 部门决算情况说明</w:t>
      </w:r>
    </w:p>
    <w:p w14:paraId="772B7F97">
      <w:pPr>
        <w:spacing w:line="640" w:lineRule="exact"/>
        <w:ind w:firstLine="640"/>
        <w:jc w:val="both"/>
        <w:outlineLvl w:val="2"/>
      </w:pPr>
      <w:r>
        <w:rPr>
          <w:rFonts w:ascii="黑体" w:hAnsi="黑体" w:eastAsia="黑体"/>
          <w:sz w:val="32"/>
        </w:rPr>
        <w:t>一、收入支出决算总体情况说明</w:t>
      </w:r>
    </w:p>
    <w:p w14:paraId="229F66A0">
      <w:pPr>
        <w:spacing w:line="580" w:lineRule="exact"/>
        <w:ind w:firstLine="640"/>
        <w:jc w:val="both"/>
      </w:pPr>
      <w:r>
        <w:rPr>
          <w:rFonts w:ascii="仿宋_GB2312" w:hAnsi="仿宋_GB2312" w:eastAsia="仿宋_GB2312"/>
          <w:b/>
          <w:sz w:val="32"/>
        </w:rPr>
        <w:t>2024年度收入总计131.68万元，</w:t>
      </w:r>
      <w:r>
        <w:rPr>
          <w:rFonts w:ascii="仿宋_GB2312" w:hAnsi="仿宋_GB2312" w:eastAsia="仿宋_GB2312"/>
          <w:b w:val="0"/>
          <w:sz w:val="32"/>
        </w:rPr>
        <w:t>其中：本年收入合计131.67万元，使用非财政拨款结余（含专用结余）0.00万元，年初结转和结余0.00万元。</w:t>
      </w:r>
    </w:p>
    <w:p w14:paraId="3116727F">
      <w:pPr>
        <w:spacing w:line="580" w:lineRule="exact"/>
        <w:ind w:firstLine="640"/>
        <w:jc w:val="both"/>
      </w:pPr>
      <w:r>
        <w:rPr>
          <w:rFonts w:ascii="仿宋_GB2312" w:hAnsi="仿宋_GB2312" w:eastAsia="仿宋_GB2312"/>
          <w:b/>
          <w:sz w:val="32"/>
        </w:rPr>
        <w:t>2024年度支出总计131.68万元，</w:t>
      </w:r>
      <w:r>
        <w:rPr>
          <w:rFonts w:ascii="仿宋_GB2312" w:hAnsi="仿宋_GB2312" w:eastAsia="仿宋_GB2312"/>
          <w:b w:val="0"/>
          <w:sz w:val="32"/>
        </w:rPr>
        <w:t>其中：本年支出合计131.67万元，结余分配0.00万元，年末结转和结余0.00万元。</w:t>
      </w:r>
    </w:p>
    <w:p w14:paraId="665FB25D">
      <w:pPr>
        <w:spacing w:line="580" w:lineRule="exact"/>
        <w:ind w:firstLine="640"/>
        <w:jc w:val="both"/>
      </w:pPr>
      <w:r>
        <w:rPr>
          <w:rFonts w:ascii="仿宋_GB2312" w:hAnsi="仿宋_GB2312" w:eastAsia="仿宋_GB2312"/>
          <w:b w:val="0"/>
          <w:sz w:val="32"/>
        </w:rPr>
        <w:t>收入支出总体与上年相比，增加17.94万元，增长15.77%，主要原因是：本年在职人员工资调增，社保、公积金基数调增，人员经费增加，年鉴经费较上年增加。</w:t>
      </w:r>
    </w:p>
    <w:p w14:paraId="1B9FF424">
      <w:pPr>
        <w:spacing w:line="640" w:lineRule="exact"/>
        <w:ind w:firstLine="640"/>
        <w:jc w:val="both"/>
        <w:outlineLvl w:val="2"/>
      </w:pPr>
      <w:r>
        <w:rPr>
          <w:rFonts w:ascii="黑体" w:hAnsi="黑体" w:eastAsia="黑体"/>
          <w:sz w:val="32"/>
        </w:rPr>
        <w:t>二、收入决算情况说明</w:t>
      </w:r>
    </w:p>
    <w:p w14:paraId="3DD8B4D3">
      <w:pPr>
        <w:spacing w:line="580" w:lineRule="exact"/>
        <w:ind w:firstLine="640"/>
        <w:jc w:val="both"/>
      </w:pPr>
      <w:r>
        <w:rPr>
          <w:rFonts w:ascii="仿宋_GB2312" w:hAnsi="仿宋_GB2312" w:eastAsia="仿宋_GB2312"/>
          <w:b/>
          <w:sz w:val="32"/>
        </w:rPr>
        <w:t>本年收入131.67万元，</w:t>
      </w:r>
      <w:r>
        <w:rPr>
          <w:rFonts w:ascii="仿宋_GB2312" w:hAnsi="仿宋_GB2312" w:eastAsia="仿宋_GB2312"/>
          <w:b w:val="0"/>
          <w:sz w:val="32"/>
        </w:rPr>
        <w:t>其中：财政拨款收入131.67万元，占100.00%；上级补助收入0.00万元，占0.00%；事业收入0.00万元，占0.00%；经营收入0.00万元，占0.00%；附属单位上缴收入0.00万元，占0.00%；其他收入0.00万元，占0.00%。</w:t>
      </w:r>
    </w:p>
    <w:p w14:paraId="196B5B22">
      <w:pPr>
        <w:spacing w:line="640" w:lineRule="exact"/>
        <w:ind w:firstLine="640"/>
        <w:jc w:val="both"/>
        <w:outlineLvl w:val="2"/>
      </w:pPr>
      <w:r>
        <w:rPr>
          <w:rFonts w:ascii="黑体" w:hAnsi="黑体" w:eastAsia="黑体"/>
          <w:sz w:val="32"/>
        </w:rPr>
        <w:t>三、支出决算情况说明</w:t>
      </w:r>
    </w:p>
    <w:p w14:paraId="002B49CA">
      <w:pPr>
        <w:spacing w:line="580" w:lineRule="exact"/>
        <w:ind w:firstLine="640"/>
        <w:jc w:val="both"/>
      </w:pPr>
      <w:r>
        <w:rPr>
          <w:rFonts w:ascii="仿宋_GB2312" w:hAnsi="仿宋_GB2312" w:eastAsia="仿宋_GB2312"/>
          <w:b/>
          <w:sz w:val="32"/>
        </w:rPr>
        <w:t>本年支出131.67万元，</w:t>
      </w:r>
      <w:r>
        <w:rPr>
          <w:rFonts w:ascii="仿宋_GB2312" w:hAnsi="仿宋_GB2312" w:eastAsia="仿宋_GB2312"/>
          <w:b w:val="0"/>
          <w:sz w:val="32"/>
        </w:rPr>
        <w:t>其中：基本支出131.67万元，占100.00%；项目支出0.00万元，占0.00%；上缴上级支出0.00万元，占0.00%；经营支出0.00万元，占0.00%；对附属单位补助支出0.00万元，占0.00%。</w:t>
      </w:r>
    </w:p>
    <w:p w14:paraId="7E0967C5">
      <w:pPr>
        <w:spacing w:line="640" w:lineRule="exact"/>
        <w:ind w:firstLine="640"/>
        <w:jc w:val="both"/>
        <w:outlineLvl w:val="2"/>
      </w:pPr>
      <w:r>
        <w:rPr>
          <w:rFonts w:ascii="黑体" w:hAnsi="黑体" w:eastAsia="黑体"/>
          <w:sz w:val="32"/>
        </w:rPr>
        <w:t>四、财政拨款收入支出决算总体情况说明</w:t>
      </w:r>
    </w:p>
    <w:p w14:paraId="3DC10EB6">
      <w:pPr>
        <w:spacing w:line="580" w:lineRule="exact"/>
        <w:ind w:firstLine="640"/>
        <w:jc w:val="both"/>
      </w:pPr>
      <w:r>
        <w:rPr>
          <w:rFonts w:ascii="仿宋_GB2312" w:hAnsi="仿宋_GB2312" w:eastAsia="仿宋_GB2312"/>
          <w:b/>
          <w:sz w:val="32"/>
        </w:rPr>
        <w:t>2024年度财政拨款收入总计131.67万元，</w:t>
      </w:r>
      <w:r>
        <w:rPr>
          <w:rFonts w:ascii="仿宋_GB2312" w:hAnsi="仿宋_GB2312" w:eastAsia="仿宋_GB2312"/>
          <w:b w:val="0"/>
          <w:sz w:val="32"/>
        </w:rPr>
        <w:t>其中：年初财政拨款结转和结余0.00万元，本年财政拨款收入131.67万元。</w:t>
      </w:r>
      <w:r>
        <w:rPr>
          <w:rFonts w:ascii="仿宋_GB2312" w:hAnsi="仿宋_GB2312" w:eastAsia="仿宋_GB2312"/>
          <w:b/>
          <w:sz w:val="32"/>
        </w:rPr>
        <w:t>财政拨款支出总计131.67万元，</w:t>
      </w:r>
      <w:r>
        <w:rPr>
          <w:rFonts w:ascii="仿宋_GB2312" w:hAnsi="仿宋_GB2312" w:eastAsia="仿宋_GB2312"/>
          <w:b w:val="0"/>
          <w:sz w:val="32"/>
        </w:rPr>
        <w:t>其中：年末财政拨款结转和结余0.00万元，本年财政拨款支出131.67万元。</w:t>
      </w:r>
    </w:p>
    <w:p w14:paraId="16C71E3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增加17.94万元，增长15.77%，主要原因是：本年在职人员工资调增，社保、公积金基数调增，人员经费增加，年鉴经费较上年增加。</w:t>
      </w:r>
      <w:r>
        <w:rPr>
          <w:rFonts w:ascii="仿宋_GB2312" w:hAnsi="仿宋_GB2312" w:eastAsia="仿宋_GB2312"/>
          <w:b/>
          <w:sz w:val="32"/>
        </w:rPr>
        <w:t>与年初预算相比，</w:t>
      </w:r>
      <w:r>
        <w:rPr>
          <w:rFonts w:ascii="仿宋_GB2312" w:hAnsi="仿宋_GB2312" w:eastAsia="仿宋_GB2312"/>
          <w:b w:val="0"/>
          <w:sz w:val="32"/>
        </w:rPr>
        <w:t>年初预算数166.06万元，决算数131.67万元，预决算差异率-20.71%，主要原因是：年中调减年鉴经费项目、扶贫志编纂前期经费项目</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14:paraId="348C9614">
      <w:pPr>
        <w:spacing w:line="640" w:lineRule="exact"/>
        <w:ind w:firstLine="640"/>
        <w:jc w:val="both"/>
        <w:outlineLvl w:val="2"/>
      </w:pPr>
      <w:r>
        <w:rPr>
          <w:rFonts w:ascii="黑体" w:hAnsi="黑体" w:eastAsia="黑体"/>
          <w:sz w:val="32"/>
        </w:rPr>
        <w:t>五、一般公共预算财政拨款支出决算情况说明</w:t>
      </w:r>
    </w:p>
    <w:p w14:paraId="7C9831D1">
      <w:pPr>
        <w:spacing w:line="640" w:lineRule="exact"/>
        <w:ind w:firstLine="640"/>
        <w:jc w:val="both"/>
        <w:outlineLvl w:val="3"/>
      </w:pPr>
      <w:r>
        <w:rPr>
          <w:rFonts w:ascii="楷体_GB2312" w:hAnsi="楷体_GB2312" w:eastAsia="楷体_GB2312"/>
          <w:b/>
          <w:sz w:val="32"/>
        </w:rPr>
        <w:t>（一）一般公共预算财政拨款支出决算总体情况</w:t>
      </w:r>
    </w:p>
    <w:p w14:paraId="4F7C3D74">
      <w:pPr>
        <w:spacing w:line="580" w:lineRule="exact"/>
        <w:ind w:firstLine="640"/>
        <w:jc w:val="both"/>
      </w:pPr>
      <w:r>
        <w:rPr>
          <w:rFonts w:ascii="仿宋_GB2312" w:hAnsi="仿宋_GB2312" w:eastAsia="仿宋_GB2312"/>
          <w:b/>
          <w:sz w:val="32"/>
        </w:rPr>
        <w:t>2024年度一般公共预算财政拨款支出131.67万元，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增加17.94万元，增长15.77%，主要原因是：本年在职人员工资调增，社保、公积金基数调增，人员经费增加，年鉴经费较上年增加。</w:t>
      </w:r>
      <w:r>
        <w:rPr>
          <w:rFonts w:ascii="仿宋_GB2312" w:hAnsi="仿宋_GB2312" w:eastAsia="仿宋_GB2312"/>
          <w:b/>
          <w:sz w:val="32"/>
        </w:rPr>
        <w:t>与年初预算相比,</w:t>
      </w:r>
      <w:r>
        <w:rPr>
          <w:rFonts w:ascii="仿宋_GB2312" w:hAnsi="仿宋_GB2312" w:eastAsia="仿宋_GB2312"/>
          <w:b w:val="0"/>
          <w:sz w:val="32"/>
        </w:rPr>
        <w:t>年初预算数166.06万元，决算数131.67万元，预决算差异率-20.71%，主要原因是：年中调减年鉴经费项目、扶贫志编纂前期经费项目</w:t>
      </w:r>
      <w:r>
        <w:rPr>
          <w:rFonts w:hint="eastAsia" w:ascii="仿宋_GB2312" w:hAnsi="仿宋_GB2312" w:eastAsia="仿宋_GB2312"/>
          <w:b w:val="0"/>
          <w:sz w:val="32"/>
          <w:lang w:val="en-US" w:eastAsia="zh-CN"/>
        </w:rPr>
        <w:t>资金，导致预决算存在差异</w:t>
      </w:r>
      <w:r>
        <w:rPr>
          <w:rFonts w:ascii="仿宋_GB2312" w:hAnsi="仿宋_GB2312" w:eastAsia="仿宋_GB2312"/>
          <w:b w:val="0"/>
          <w:sz w:val="32"/>
        </w:rPr>
        <w:t>。</w:t>
      </w:r>
    </w:p>
    <w:p w14:paraId="366CD4A9">
      <w:pPr>
        <w:spacing w:line="640" w:lineRule="exact"/>
        <w:ind w:firstLine="640"/>
        <w:jc w:val="both"/>
        <w:outlineLvl w:val="3"/>
      </w:pPr>
      <w:r>
        <w:rPr>
          <w:rFonts w:ascii="楷体_GB2312" w:hAnsi="楷体_GB2312" w:eastAsia="楷体_GB2312"/>
          <w:b/>
          <w:sz w:val="32"/>
        </w:rPr>
        <w:t>（二）一般公共预算财政拨款支出决算结构情况</w:t>
      </w:r>
    </w:p>
    <w:p w14:paraId="7DF6C0EE">
      <w:pPr>
        <w:spacing w:line="580" w:lineRule="exact"/>
        <w:ind w:firstLine="640"/>
        <w:jc w:val="both"/>
      </w:pPr>
      <w:r>
        <w:rPr>
          <w:rFonts w:ascii="仿宋_GB2312" w:hAnsi="仿宋_GB2312" w:eastAsia="仿宋_GB2312"/>
          <w:b w:val="0"/>
          <w:sz w:val="32"/>
        </w:rPr>
        <w:t>1.一般公共服务支出(类)90.50万元,占68.73%。</w:t>
      </w:r>
    </w:p>
    <w:p w14:paraId="08CA2C40">
      <w:pPr>
        <w:spacing w:line="580" w:lineRule="exact"/>
        <w:ind w:firstLine="640"/>
        <w:jc w:val="both"/>
      </w:pPr>
      <w:r>
        <w:rPr>
          <w:rFonts w:ascii="仿宋_GB2312" w:hAnsi="仿宋_GB2312" w:eastAsia="仿宋_GB2312"/>
          <w:b w:val="0"/>
          <w:sz w:val="32"/>
        </w:rPr>
        <w:t>2.社会保障和就业支出(类)31.02万元,占23.56%。</w:t>
      </w:r>
    </w:p>
    <w:p w14:paraId="23C9ACD1">
      <w:pPr>
        <w:spacing w:line="580" w:lineRule="exact"/>
        <w:ind w:firstLine="640"/>
        <w:jc w:val="both"/>
      </w:pPr>
      <w:r>
        <w:rPr>
          <w:rFonts w:ascii="仿宋_GB2312" w:hAnsi="仿宋_GB2312" w:eastAsia="仿宋_GB2312"/>
          <w:b w:val="0"/>
          <w:sz w:val="32"/>
        </w:rPr>
        <w:t>3.卫生健康支出(类)3.42万元,占2.60%。</w:t>
      </w:r>
    </w:p>
    <w:p w14:paraId="14207116">
      <w:pPr>
        <w:spacing w:line="580" w:lineRule="exact"/>
        <w:ind w:firstLine="640"/>
        <w:jc w:val="both"/>
      </w:pPr>
      <w:r>
        <w:rPr>
          <w:rFonts w:ascii="仿宋_GB2312" w:hAnsi="仿宋_GB2312" w:eastAsia="仿宋_GB2312"/>
          <w:b w:val="0"/>
          <w:sz w:val="32"/>
        </w:rPr>
        <w:t>4.住房保障支出(类)6.74万元,占5.12%。</w:t>
      </w:r>
    </w:p>
    <w:p w14:paraId="725B229F">
      <w:pPr>
        <w:spacing w:line="640" w:lineRule="exact"/>
        <w:ind w:firstLine="640"/>
        <w:jc w:val="both"/>
        <w:outlineLvl w:val="3"/>
      </w:pPr>
      <w:r>
        <w:rPr>
          <w:rFonts w:ascii="楷体_GB2312" w:hAnsi="楷体_GB2312" w:eastAsia="楷体_GB2312"/>
          <w:b/>
          <w:sz w:val="32"/>
        </w:rPr>
        <w:t>（三）一般公共预算财政拨款支出决算具体情况</w:t>
      </w:r>
    </w:p>
    <w:p w14:paraId="0AEE2AA0">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1.一般公共服务支出(类)党委办公厅（室）及相关机构事务(款)行政运行(项):支出决算数为89.54万元，比上年决算增加0.75万元，增长0.84%,主要原因是：本年在职人员工资调增，导致相关人员经费较上年有所增加。</w:t>
      </w:r>
    </w:p>
    <w:p w14:paraId="5ACDDE1E">
      <w:pPr>
        <w:spacing w:line="580" w:lineRule="exact"/>
        <w:ind w:firstLine="640"/>
        <w:jc w:val="both"/>
      </w:pPr>
      <w:r>
        <w:rPr>
          <w:rFonts w:ascii="仿宋_GB2312" w:hAnsi="仿宋_GB2312" w:eastAsia="仿宋_GB2312"/>
          <w:b w:val="0"/>
          <w:sz w:val="32"/>
        </w:rPr>
        <w:t>2.一般公共服务支出(类)组织事务(款)其他组织事务支出(项):支出决算数为0.96万元，比上年决算增加0.96万元，增长100.00%,主要原因是：本年新增群众工作经费项目。</w:t>
      </w:r>
    </w:p>
    <w:p w14:paraId="2FE614B2">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3.社会保障和就业支出(类)行政事业单位养老支出(款)行政单位离退休(项):支出决算数为9.43万元，比上年决算增加1.81万元，增长23.75%,主要原因是：本年退休人员增加，绩效增加，导致退休费较上年增加。</w:t>
      </w:r>
    </w:p>
    <w:p w14:paraId="74D96F5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8.40万元，比上年决算增加0.78万元，增长10.24%,主要原因是：本年在职人员工资基数调增，养老缴费基数上涨，相应支出增加。</w:t>
      </w:r>
    </w:p>
    <w:p w14:paraId="3338FAD0">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5.社会保障和就业支出(类)行政事业单位养老支出(款)机关事业单位职业年金缴费支出(项):支出决算数为13.19万元，比上年决算增加13.19万元，增长100.00%,主要原因是：本年新增退休人员</w:t>
      </w:r>
      <w:r>
        <w:rPr>
          <w:rFonts w:hint="eastAsia" w:ascii="仿宋_GB2312" w:hAnsi="仿宋_GB2312" w:eastAsia="仿宋_GB2312"/>
          <w:b w:val="0"/>
          <w:sz w:val="32"/>
          <w:lang w:val="en-US" w:eastAsia="zh-CN"/>
        </w:rPr>
        <w:t>与</w:t>
      </w:r>
      <w:r>
        <w:rPr>
          <w:rFonts w:ascii="仿宋_GB2312" w:hAnsi="仿宋_GB2312" w:eastAsia="仿宋_GB2312"/>
          <w:b w:val="0"/>
          <w:sz w:val="32"/>
        </w:rPr>
        <w:t>辞职人员，职业年金缴费支出增加。</w:t>
      </w:r>
    </w:p>
    <w:p w14:paraId="46641F61">
      <w:pPr>
        <w:spacing w:line="580" w:lineRule="exact"/>
        <w:ind w:firstLine="640"/>
        <w:jc w:val="both"/>
      </w:pPr>
      <w:r>
        <w:rPr>
          <w:rFonts w:ascii="仿宋_GB2312" w:hAnsi="仿宋_GB2312" w:eastAsia="仿宋_GB2312"/>
          <w:b w:val="0"/>
          <w:sz w:val="32"/>
        </w:rPr>
        <w:t>6.卫生健康支出(类)行政事业单位医疗(款)行政单位医疗(项):支出决算数为3.42万元，比上年决算减少0.05万元，下降1.44%,主要原因是：本年在职人员减少，行政单位医疗较上年减少。</w:t>
      </w:r>
    </w:p>
    <w:p w14:paraId="759C3407">
      <w:pPr>
        <w:spacing w:line="580" w:lineRule="exact"/>
        <w:ind w:firstLine="640"/>
        <w:jc w:val="both"/>
      </w:pPr>
      <w:r>
        <w:rPr>
          <w:rFonts w:ascii="仿宋_GB2312" w:hAnsi="仿宋_GB2312" w:eastAsia="仿宋_GB2312"/>
          <w:b w:val="0"/>
          <w:sz w:val="32"/>
        </w:rPr>
        <w:t>7.住房保障支出(类)住房改革支出(款)住房公积金(项):支出决算数为6.74万元，比上年决算增加0.50万元，增长8.01%,主要原因是：本年在职人员工资基数调增，公积金缴费基数上涨，相应支出增加。</w:t>
      </w:r>
    </w:p>
    <w:p w14:paraId="5F68FA1C">
      <w:pPr>
        <w:spacing w:line="640" w:lineRule="exact"/>
        <w:ind w:firstLine="640"/>
        <w:jc w:val="both"/>
        <w:outlineLvl w:val="2"/>
      </w:pPr>
      <w:r>
        <w:rPr>
          <w:rFonts w:ascii="黑体" w:hAnsi="黑体" w:eastAsia="黑体"/>
          <w:sz w:val="32"/>
        </w:rPr>
        <w:t>六、一般公共预算财政拨款基本支出决算情况说明</w:t>
      </w:r>
    </w:p>
    <w:p w14:paraId="0D1EC2C6">
      <w:pPr>
        <w:spacing w:line="580" w:lineRule="exact"/>
        <w:ind w:firstLine="640"/>
        <w:jc w:val="both"/>
      </w:pPr>
      <w:r>
        <w:rPr>
          <w:rFonts w:ascii="仿宋_GB2312" w:hAnsi="仿宋_GB2312" w:eastAsia="仿宋_GB2312"/>
          <w:b w:val="0"/>
          <w:sz w:val="32"/>
        </w:rPr>
        <w:t>2024年度一般公共预算财政拨款基本支出131.67万元，其中：</w:t>
      </w:r>
      <w:r>
        <w:rPr>
          <w:rFonts w:ascii="仿宋_GB2312" w:hAnsi="仿宋_GB2312" w:eastAsia="仿宋_GB2312"/>
          <w:b/>
          <w:sz w:val="32"/>
        </w:rPr>
        <w:t>人员经费107.32万元，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包括：基本工资、津贴补贴、奖金、机关事业单位基本养老保险缴费、职业年金缴费、职工基本医疗保险缴费、其他社会保障缴费、住房公积金、退休费、其他对个人和家庭的补助。</w:t>
      </w:r>
    </w:p>
    <w:p w14:paraId="5321EE06">
      <w:pPr>
        <w:spacing w:line="580" w:lineRule="exact"/>
        <w:ind w:firstLine="640"/>
        <w:jc w:val="both"/>
      </w:pPr>
      <w:r>
        <w:rPr>
          <w:rFonts w:ascii="仿宋_GB2312" w:hAnsi="仿宋_GB2312" w:eastAsia="仿宋_GB2312"/>
          <w:b/>
          <w:sz w:val="32"/>
        </w:rPr>
        <w:t>公用经费24.35万元，</w:t>
      </w:r>
      <w:r>
        <w:rPr>
          <w:rFonts w:ascii="仿宋_GB2312" w:hAnsi="仿宋_GB2312" w:eastAsia="仿宋_GB2312"/>
          <w:b w:val="0"/>
          <w:sz w:val="32"/>
        </w:rPr>
        <w:t>包括：办公费、印刷费、邮电费、差旅费。</w:t>
      </w:r>
    </w:p>
    <w:p w14:paraId="3D34CADF">
      <w:pPr>
        <w:spacing w:line="640" w:lineRule="exact"/>
        <w:ind w:firstLine="640"/>
        <w:jc w:val="both"/>
        <w:outlineLvl w:val="2"/>
      </w:pPr>
      <w:r>
        <w:rPr>
          <w:rFonts w:ascii="黑体" w:hAnsi="黑体" w:eastAsia="黑体"/>
          <w:sz w:val="32"/>
        </w:rPr>
        <w:t>七、政府性基金预算财政拨款收入支出决算情况说明</w:t>
      </w:r>
    </w:p>
    <w:p w14:paraId="120FD90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DA438AA">
      <w:pPr>
        <w:spacing w:line="640" w:lineRule="exact"/>
        <w:ind w:firstLine="640"/>
        <w:jc w:val="both"/>
        <w:outlineLvl w:val="2"/>
      </w:pPr>
      <w:r>
        <w:rPr>
          <w:rFonts w:ascii="黑体" w:hAnsi="黑体" w:eastAsia="黑体"/>
          <w:sz w:val="32"/>
        </w:rPr>
        <w:t>八、国有资本经营预算财政拨款收入支出决算情况说明</w:t>
      </w:r>
    </w:p>
    <w:p w14:paraId="7C549D3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24D68A">
      <w:pPr>
        <w:spacing w:line="640" w:lineRule="exact"/>
        <w:ind w:firstLine="640"/>
        <w:jc w:val="both"/>
        <w:outlineLvl w:val="2"/>
      </w:pPr>
      <w:r>
        <w:rPr>
          <w:rFonts w:ascii="黑体" w:hAnsi="黑体" w:eastAsia="黑体"/>
          <w:sz w:val="32"/>
        </w:rPr>
        <w:t>九、财政拨款“三公”经费支出决算情况说明</w:t>
      </w:r>
    </w:p>
    <w:p w14:paraId="128A9E5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B398562">
      <w:pPr>
        <w:spacing w:line="580" w:lineRule="exact"/>
        <w:ind w:firstLine="640"/>
        <w:jc w:val="both"/>
      </w:pPr>
      <w:r>
        <w:rPr>
          <w:rFonts w:ascii="仿宋_GB2312" w:hAnsi="仿宋_GB2312" w:eastAsia="仿宋_GB2312"/>
          <w:b/>
          <w:sz w:val="32"/>
        </w:rPr>
        <w:t>具体情况如下：</w:t>
      </w:r>
    </w:p>
    <w:p w14:paraId="160D449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160FB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B7B83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E54EE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0CBDB4">
      <w:pPr>
        <w:spacing w:line="640" w:lineRule="exact"/>
        <w:ind w:firstLine="640"/>
        <w:jc w:val="both"/>
        <w:outlineLvl w:val="2"/>
      </w:pPr>
      <w:r>
        <w:rPr>
          <w:rFonts w:ascii="黑体" w:hAnsi="黑体" w:eastAsia="黑体"/>
          <w:sz w:val="32"/>
        </w:rPr>
        <w:t>十、其他重要事项的情况说明</w:t>
      </w:r>
    </w:p>
    <w:p w14:paraId="165EFFC3">
      <w:pPr>
        <w:spacing w:line="640" w:lineRule="exact"/>
        <w:ind w:firstLine="640"/>
        <w:jc w:val="both"/>
        <w:outlineLvl w:val="3"/>
      </w:pPr>
      <w:r>
        <w:rPr>
          <w:rFonts w:ascii="楷体_GB2312" w:hAnsi="楷体_GB2312" w:eastAsia="楷体_GB2312"/>
          <w:b/>
          <w:sz w:val="32"/>
        </w:rPr>
        <w:t>（一）机关运行经费及公用经费支出情况</w:t>
      </w:r>
    </w:p>
    <w:p w14:paraId="49562F39">
      <w:pPr>
        <w:spacing w:line="580" w:lineRule="exact"/>
        <w:ind w:firstLine="640"/>
        <w:jc w:val="both"/>
      </w:pPr>
      <w:r>
        <w:rPr>
          <w:rFonts w:ascii="仿宋_GB2312" w:hAnsi="仿宋_GB2312" w:eastAsia="仿宋_GB2312"/>
          <w:b w:val="0"/>
          <w:sz w:val="32"/>
        </w:rPr>
        <w:t>2024年度阿图什市地方志编纂委员会办公室（行政单位和参照公务员法管理事业单位）机关运行经费支出24.35万元，比上年增加10.38万元，增长74.30%，主要原因是：本年更新、维护补充办公用品，导致机关运行经费较上年增加。</w:t>
      </w:r>
    </w:p>
    <w:p w14:paraId="7A7D3E29">
      <w:pPr>
        <w:spacing w:line="640" w:lineRule="exact"/>
        <w:ind w:firstLine="640"/>
        <w:jc w:val="both"/>
        <w:outlineLvl w:val="3"/>
      </w:pPr>
      <w:r>
        <w:rPr>
          <w:rFonts w:ascii="楷体_GB2312" w:hAnsi="楷体_GB2312" w:eastAsia="楷体_GB2312"/>
          <w:b/>
          <w:sz w:val="32"/>
        </w:rPr>
        <w:t>（二）政府采购情况</w:t>
      </w:r>
    </w:p>
    <w:p w14:paraId="74B2100B">
      <w:pPr>
        <w:spacing w:line="580" w:lineRule="exact"/>
        <w:ind w:firstLine="640"/>
        <w:jc w:val="both"/>
      </w:pPr>
      <w:r>
        <w:rPr>
          <w:rFonts w:ascii="仿宋_GB2312" w:hAnsi="仿宋_GB2312" w:eastAsia="仿宋_GB2312"/>
          <w:b w:val="0"/>
          <w:sz w:val="32"/>
        </w:rPr>
        <w:t>2024年度政府采购支出总额23.83万元，其中：政府采购货物支出1.79万元、政府采购工程支出0.00万元、政府采购服务支出22.04万元。</w:t>
      </w:r>
    </w:p>
    <w:p w14:paraId="3640E33B">
      <w:pPr>
        <w:spacing w:line="580" w:lineRule="exact"/>
        <w:ind w:firstLine="640"/>
        <w:jc w:val="both"/>
      </w:pPr>
      <w:r>
        <w:rPr>
          <w:rFonts w:ascii="仿宋_GB2312" w:hAnsi="仿宋_GB2312" w:eastAsia="仿宋_GB2312"/>
          <w:b w:val="0"/>
          <w:sz w:val="32"/>
        </w:rPr>
        <w:t>授予中小企业合同金额23.24万元，占政府采购支出总额的97.52%，其中：授予小微企业合同金额23.24万元，占政府采购支出总额的97.52%。</w:t>
      </w:r>
    </w:p>
    <w:p w14:paraId="0086B7DB">
      <w:pPr>
        <w:spacing w:line="640" w:lineRule="exact"/>
        <w:ind w:firstLine="640"/>
        <w:jc w:val="both"/>
        <w:outlineLvl w:val="3"/>
      </w:pPr>
      <w:r>
        <w:rPr>
          <w:rFonts w:ascii="楷体_GB2312" w:hAnsi="楷体_GB2312" w:eastAsia="楷体_GB2312"/>
          <w:b/>
          <w:sz w:val="32"/>
        </w:rPr>
        <w:t>（三）国有资产占用情况说明</w:t>
      </w:r>
    </w:p>
    <w:p w14:paraId="68DDCBE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87B6796">
      <w:pPr>
        <w:spacing w:line="640" w:lineRule="exact"/>
        <w:ind w:firstLine="640"/>
        <w:jc w:val="both"/>
        <w:outlineLvl w:val="2"/>
      </w:pPr>
      <w:r>
        <w:rPr>
          <w:rFonts w:ascii="黑体" w:hAnsi="黑体" w:eastAsia="黑体"/>
          <w:sz w:val="32"/>
        </w:rPr>
        <w:t>十一、预算绩效的情况说明</w:t>
      </w:r>
    </w:p>
    <w:p w14:paraId="1F03E3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131.68万元，实际执行总额131.67万元；预算绩效评价项目2个，全年预算数52.00万元，全年执行数22.94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强化运行监管，突出结果导向。预算项目和预算资金一经批复，相关单位应当迅速组织执行并加强管理，财政及有关监督部门应当动态掌握情况并监督实施。一是确定监控重点。按照“有申报就有监控、有执行就要跟进”的要求，重点对社会关注度高的民生工程、影响地方经济社会发展的基础设施建设工程的推进运行情况进行全过程监督。二是明确监管内容。要把项目的绩效目标实现程度、资金使用、项目实施、项目管理等情况全部纳入监督范围。三是强化整改措施。绩效运行中发现的问题，要即知即改；绩效评价时指出的问题，要问责问效；管理机制上存在的问题，要标本兼治。具体附整体支出绩效自评表，项目支出绩效自评表和评价报告。</w:t>
      </w:r>
    </w:p>
    <w:p w14:paraId="01C3C914">
      <w:r>
        <w:br w:type="page"/>
      </w:r>
    </w:p>
    <w:tbl>
      <w:tblPr>
        <w:tblStyle w:val="9"/>
        <w:tblW w:w="9600" w:type="dxa"/>
        <w:tblInd w:w="0" w:type="dxa"/>
        <w:tblLayout w:type="autofit"/>
        <w:tblCellMar>
          <w:top w:w="0" w:type="dxa"/>
          <w:left w:w="108" w:type="dxa"/>
          <w:bottom w:w="0" w:type="dxa"/>
          <w:right w:w="108" w:type="dxa"/>
        </w:tblCellMar>
      </w:tblPr>
      <w:tblGrid>
        <w:gridCol w:w="1200"/>
        <w:gridCol w:w="1200"/>
        <w:gridCol w:w="1200"/>
        <w:gridCol w:w="1446"/>
        <w:gridCol w:w="954"/>
        <w:gridCol w:w="1200"/>
        <w:gridCol w:w="1200"/>
        <w:gridCol w:w="1200"/>
      </w:tblGrid>
      <w:tr w14:paraId="60E88047">
        <w:tblPrEx>
          <w:tblCellMar>
            <w:top w:w="0" w:type="dxa"/>
            <w:left w:w="108" w:type="dxa"/>
            <w:bottom w:w="0" w:type="dxa"/>
            <w:right w:w="108" w:type="dxa"/>
          </w:tblCellMar>
        </w:tblPrEx>
        <w:trPr>
          <w:trHeight w:val="103" w:hRule="atLeast"/>
        </w:trPr>
        <w:tc>
          <w:tcPr>
            <w:tcW w:w="9600" w:type="dxa"/>
            <w:gridSpan w:val="8"/>
            <w:vAlign w:val="center"/>
          </w:tcPr>
          <w:p w14:paraId="5EB29D4C">
            <w:pPr>
              <w:jc w:val="center"/>
            </w:pPr>
            <w:r>
              <w:rPr>
                <w:rFonts w:ascii="宋体" w:hAnsi="宋体" w:eastAsia="宋体"/>
                <w:sz w:val="24"/>
              </w:rPr>
              <w:t>单位整体支出绩效自评表</w:t>
            </w:r>
          </w:p>
        </w:tc>
      </w:tr>
      <w:tr w14:paraId="230AE886">
        <w:tblPrEx>
          <w:tblCellMar>
            <w:top w:w="0" w:type="dxa"/>
            <w:left w:w="108" w:type="dxa"/>
            <w:bottom w:w="0" w:type="dxa"/>
            <w:right w:w="108" w:type="dxa"/>
          </w:tblCellMar>
        </w:tblPrEx>
        <w:trPr>
          <w:trHeight w:val="103" w:hRule="atLeast"/>
        </w:trPr>
        <w:tc>
          <w:tcPr>
            <w:tcW w:w="9600" w:type="dxa"/>
            <w:gridSpan w:val="8"/>
            <w:vAlign w:val="center"/>
          </w:tcPr>
          <w:p w14:paraId="73831612">
            <w:pPr>
              <w:jc w:val="center"/>
            </w:pPr>
            <w:r>
              <w:rPr>
                <w:rFonts w:ascii="宋体" w:hAnsi="宋体" w:eastAsia="宋体"/>
                <w:sz w:val="24"/>
              </w:rPr>
              <w:t>（2024年度）</w:t>
            </w:r>
          </w:p>
        </w:tc>
      </w:tr>
      <w:tr w14:paraId="1DBA6C41">
        <w:tblPrEx>
          <w:tblCellMar>
            <w:top w:w="0" w:type="dxa"/>
            <w:left w:w="108" w:type="dxa"/>
            <w:bottom w:w="0" w:type="dxa"/>
            <w:right w:w="108" w:type="dxa"/>
          </w:tblCellMar>
        </w:tblPrEx>
        <w:trPr>
          <w:trHeight w:val="111" w:hRule="atLeast"/>
        </w:trPr>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66A2E50">
            <w:pPr>
              <w:jc w:val="center"/>
            </w:pPr>
            <w:r>
              <w:rPr>
                <w:rFonts w:ascii="宋体" w:hAnsi="宋体" w:eastAsia="宋体"/>
                <w:sz w:val="16"/>
              </w:rPr>
              <w:t>单位名称</w:t>
            </w:r>
          </w:p>
        </w:tc>
        <w:tc>
          <w:tcPr>
            <w:tcW w:w="840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48262">
            <w:pPr>
              <w:jc w:val="center"/>
            </w:pPr>
            <w:r>
              <w:rPr>
                <w:rFonts w:ascii="宋体" w:hAnsi="宋体" w:eastAsia="宋体"/>
                <w:sz w:val="16"/>
              </w:rPr>
              <w:t>阿图什市地方志编纂委员会办公室</w:t>
            </w:r>
          </w:p>
        </w:tc>
      </w:tr>
      <w:tr w14:paraId="4FD2453D">
        <w:tblPrEx>
          <w:tblCellMar>
            <w:top w:w="0" w:type="dxa"/>
            <w:left w:w="108" w:type="dxa"/>
            <w:bottom w:w="0" w:type="dxa"/>
            <w:right w:w="108" w:type="dxa"/>
          </w:tblCellMar>
        </w:tblPrEx>
        <w:trPr>
          <w:trHeight w:val="214" w:hRule="atLeast"/>
        </w:trPr>
        <w:tc>
          <w:tcPr>
            <w:tcW w:w="12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8A532">
            <w:pPr>
              <w:jc w:val="center"/>
            </w:pPr>
            <w:r>
              <w:rPr>
                <w:rFonts w:ascii="宋体" w:hAnsi="宋体" w:eastAsia="宋体"/>
                <w:sz w:val="16"/>
              </w:rPr>
              <w:t>年度预算（万元）</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06B487D">
            <w:pPr>
              <w:jc w:val="center"/>
            </w:pPr>
            <w:r>
              <w:rPr>
                <w:rFonts w:ascii="宋体" w:hAnsi="宋体" w:eastAsia="宋体"/>
                <w:sz w:val="16"/>
              </w:rPr>
              <w:t>资金来源</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4360F7B">
            <w:pPr>
              <w:jc w:val="center"/>
            </w:pPr>
            <w:r>
              <w:rPr>
                <w:rFonts w:ascii="宋体" w:hAnsi="宋体" w:eastAsia="宋体"/>
                <w:sz w:val="16"/>
              </w:rPr>
              <w:t>年初预算数</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1985ECAB">
            <w:pPr>
              <w:jc w:val="center"/>
            </w:pPr>
            <w:r>
              <w:rPr>
                <w:rFonts w:ascii="宋体" w:hAnsi="宋体" w:eastAsia="宋体"/>
                <w:sz w:val="16"/>
              </w:rPr>
              <w:t>预算数（调整后）</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68686302">
            <w:pPr>
              <w:jc w:val="center"/>
            </w:pPr>
            <w:r>
              <w:rPr>
                <w:rFonts w:ascii="宋体" w:hAnsi="宋体" w:eastAsia="宋体"/>
                <w:sz w:val="16"/>
              </w:rPr>
              <w:t>执行数</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A9325FA">
            <w:pPr>
              <w:jc w:val="center"/>
            </w:pPr>
            <w:r>
              <w:rPr>
                <w:rFonts w:ascii="宋体" w:hAnsi="宋体" w:eastAsia="宋体"/>
                <w:sz w:val="16"/>
              </w:rPr>
              <w:t>分值权重</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DCDF179">
            <w:pPr>
              <w:jc w:val="center"/>
            </w:pPr>
            <w:r>
              <w:rPr>
                <w:rFonts w:ascii="宋体" w:hAnsi="宋体" w:eastAsia="宋体"/>
                <w:sz w:val="16"/>
              </w:rPr>
              <w:t>执行率</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9A970C0">
            <w:pPr>
              <w:jc w:val="center"/>
            </w:pPr>
            <w:r>
              <w:rPr>
                <w:rFonts w:ascii="宋体" w:hAnsi="宋体" w:eastAsia="宋体"/>
                <w:sz w:val="16"/>
              </w:rPr>
              <w:t>得分</w:t>
            </w:r>
          </w:p>
        </w:tc>
      </w:tr>
      <w:tr w14:paraId="62AE4E3F">
        <w:tblPrEx>
          <w:tblCellMar>
            <w:top w:w="0" w:type="dxa"/>
            <w:left w:w="108" w:type="dxa"/>
            <w:bottom w:w="0" w:type="dxa"/>
            <w:right w:w="108" w:type="dxa"/>
          </w:tblCellMar>
        </w:tblPrEx>
        <w:trPr>
          <w:trHeight w:val="111"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7FBC4CDD"/>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3856A9A7">
            <w:pPr>
              <w:jc w:val="center"/>
            </w:pPr>
            <w:r>
              <w:rPr>
                <w:rFonts w:ascii="宋体" w:hAnsi="宋体" w:eastAsia="宋体"/>
                <w:sz w:val="16"/>
              </w:rPr>
              <w:t>年度总资金：</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F6D9C1C">
            <w:pPr>
              <w:jc w:val="center"/>
            </w:pPr>
            <w:r>
              <w:rPr>
                <w:rFonts w:ascii="宋体" w:hAnsi="宋体" w:eastAsia="宋体"/>
                <w:sz w:val="16"/>
              </w:rPr>
              <w:t>166.07</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6A53BE1A">
            <w:pPr>
              <w:jc w:val="center"/>
            </w:pPr>
            <w:r>
              <w:rPr>
                <w:rFonts w:ascii="宋体" w:hAnsi="宋体" w:eastAsia="宋体"/>
                <w:sz w:val="16"/>
              </w:rPr>
              <w:t>131.68</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2D39AB4C">
            <w:pPr>
              <w:jc w:val="center"/>
            </w:pPr>
            <w:r>
              <w:rPr>
                <w:rFonts w:ascii="宋体" w:hAnsi="宋体" w:eastAsia="宋体"/>
                <w:sz w:val="16"/>
              </w:rPr>
              <w:t>131.67</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CC22C57">
            <w:pPr>
              <w:jc w:val="center"/>
            </w:pPr>
            <w:r>
              <w:rPr>
                <w:rFonts w:ascii="宋体" w:hAnsi="宋体" w:eastAsia="宋体"/>
                <w:sz w:val="16"/>
              </w:rPr>
              <w:t>10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A0DF11D">
            <w:pPr>
              <w:jc w:val="center"/>
            </w:pPr>
            <w:r>
              <w:rPr>
                <w:rFonts w:ascii="宋体" w:hAnsi="宋体" w:eastAsia="宋体"/>
                <w:sz w:val="16"/>
              </w:rPr>
              <w:t>99.99%</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0323CE7">
            <w:pPr>
              <w:jc w:val="center"/>
              <w:rPr>
                <w:rFonts w:hint="default" w:eastAsia="宋体"/>
                <w:lang w:val="en-US" w:eastAsia="zh-CN"/>
              </w:rPr>
            </w:pPr>
            <w:r>
              <w:rPr>
                <w:rFonts w:hint="eastAsia" w:ascii="宋体" w:hAnsi="宋体"/>
                <w:sz w:val="16"/>
                <w:lang w:val="en-US" w:eastAsia="zh-CN"/>
              </w:rPr>
              <w:t>9.99</w:t>
            </w:r>
          </w:p>
        </w:tc>
      </w:tr>
      <w:tr w14:paraId="5CECFD2D">
        <w:tblPrEx>
          <w:tblCellMar>
            <w:top w:w="0" w:type="dxa"/>
            <w:left w:w="108" w:type="dxa"/>
            <w:bottom w:w="0" w:type="dxa"/>
            <w:right w:w="108" w:type="dxa"/>
          </w:tblCellMar>
        </w:tblPrEx>
        <w:trPr>
          <w:trHeight w:val="111"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0CB92276"/>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606FBCE">
            <w:pPr>
              <w:jc w:val="center"/>
            </w:pPr>
            <w:r>
              <w:rPr>
                <w:rFonts w:ascii="宋体" w:hAnsi="宋体" w:eastAsia="宋体"/>
                <w:sz w:val="16"/>
              </w:rPr>
              <w:t>上级资金：</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3E116B58">
            <w:pPr>
              <w:jc w:val="center"/>
            </w:pPr>
            <w:r>
              <w:rPr>
                <w:rFonts w:ascii="宋体" w:hAnsi="宋体" w:eastAsia="宋体"/>
                <w:sz w:val="16"/>
              </w:rPr>
              <w:t>0.00</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53EDF12A">
            <w:pPr>
              <w:jc w:val="center"/>
            </w:pPr>
            <w:r>
              <w:rPr>
                <w:rFonts w:ascii="宋体" w:hAnsi="宋体" w:eastAsia="宋体"/>
                <w:sz w:val="16"/>
              </w:rPr>
              <w:t>0.00</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1B2992E9">
            <w:pPr>
              <w:jc w:val="center"/>
            </w:pPr>
            <w:r>
              <w:rPr>
                <w:rFonts w:ascii="宋体" w:hAnsi="宋体" w:eastAsia="宋体"/>
                <w:sz w:val="16"/>
              </w:rPr>
              <w:t>0.00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AF0F78D">
            <w:pPr>
              <w:jc w:val="center"/>
            </w:pPr>
            <w:r>
              <w:rPr>
                <w:rFonts w:ascii="宋体" w:hAnsi="宋体" w:eastAsia="宋体"/>
                <w:sz w:val="16"/>
              </w:rPr>
              <w:t>—</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D001E9C">
            <w:pPr>
              <w:jc w:val="center"/>
            </w:pPr>
            <w:r>
              <w:rPr>
                <w:rFonts w:ascii="宋体" w:hAnsi="宋体" w:eastAsia="宋体"/>
                <w:sz w:val="16"/>
              </w:rPr>
              <w:t>—</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623C0E0">
            <w:pPr>
              <w:jc w:val="center"/>
            </w:pPr>
            <w:r>
              <w:rPr>
                <w:rFonts w:ascii="宋体" w:hAnsi="宋体" w:eastAsia="宋体"/>
                <w:sz w:val="16"/>
              </w:rPr>
              <w:t>—</w:t>
            </w:r>
          </w:p>
        </w:tc>
      </w:tr>
      <w:tr w14:paraId="25C01D07">
        <w:tblPrEx>
          <w:tblCellMar>
            <w:top w:w="0" w:type="dxa"/>
            <w:left w:w="108" w:type="dxa"/>
            <w:bottom w:w="0" w:type="dxa"/>
            <w:right w:w="108" w:type="dxa"/>
          </w:tblCellMar>
        </w:tblPrEx>
        <w:trPr>
          <w:trHeight w:val="111"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3DF63127"/>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EAD45E2">
            <w:pPr>
              <w:jc w:val="center"/>
            </w:pPr>
            <w:r>
              <w:rPr>
                <w:rFonts w:ascii="宋体" w:hAnsi="宋体" w:eastAsia="宋体"/>
                <w:sz w:val="16"/>
              </w:rPr>
              <w:t>本级资金：</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7441EBE">
            <w:pPr>
              <w:jc w:val="center"/>
            </w:pPr>
            <w:r>
              <w:rPr>
                <w:rFonts w:ascii="宋体" w:hAnsi="宋体" w:eastAsia="宋体"/>
                <w:sz w:val="16"/>
              </w:rPr>
              <w:t>166.07</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4338B570">
            <w:pPr>
              <w:jc w:val="center"/>
            </w:pPr>
            <w:r>
              <w:rPr>
                <w:rFonts w:ascii="宋体" w:hAnsi="宋体" w:eastAsia="宋体"/>
                <w:sz w:val="16"/>
              </w:rPr>
              <w:t>131.68</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4436AEA6">
            <w:pPr>
              <w:jc w:val="center"/>
            </w:pPr>
            <w:r>
              <w:rPr>
                <w:rFonts w:ascii="宋体" w:hAnsi="宋体" w:eastAsia="宋体"/>
                <w:sz w:val="16"/>
              </w:rPr>
              <w:t>131.67</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E7563D9">
            <w:pPr>
              <w:jc w:val="center"/>
            </w:pPr>
            <w:r>
              <w:rPr>
                <w:rFonts w:ascii="宋体" w:hAnsi="宋体" w:eastAsia="宋体"/>
                <w:sz w:val="16"/>
              </w:rPr>
              <w:t>—</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A75B1CF">
            <w:pPr>
              <w:jc w:val="center"/>
            </w:pPr>
            <w:r>
              <w:rPr>
                <w:rFonts w:ascii="宋体" w:hAnsi="宋体" w:eastAsia="宋体"/>
                <w:sz w:val="16"/>
              </w:rPr>
              <w:t>—</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69244D9">
            <w:pPr>
              <w:jc w:val="center"/>
            </w:pPr>
            <w:r>
              <w:rPr>
                <w:rFonts w:ascii="宋体" w:hAnsi="宋体" w:eastAsia="宋体"/>
                <w:sz w:val="16"/>
              </w:rPr>
              <w:t>—</w:t>
            </w:r>
          </w:p>
        </w:tc>
      </w:tr>
      <w:tr w14:paraId="3A1CABFA">
        <w:tblPrEx>
          <w:tblCellMar>
            <w:top w:w="0" w:type="dxa"/>
            <w:left w:w="108" w:type="dxa"/>
            <w:bottom w:w="0" w:type="dxa"/>
            <w:right w:w="108" w:type="dxa"/>
          </w:tblCellMar>
        </w:tblPrEx>
        <w:trPr>
          <w:trHeight w:val="111"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1EC78A9B"/>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37B9F86">
            <w:pPr>
              <w:jc w:val="center"/>
            </w:pPr>
            <w:r>
              <w:rPr>
                <w:rFonts w:ascii="宋体" w:hAnsi="宋体" w:eastAsia="宋体"/>
                <w:sz w:val="16"/>
              </w:rPr>
              <w:t>其他资金：</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BBF39F3">
            <w:pPr>
              <w:jc w:val="center"/>
            </w:pPr>
            <w:r>
              <w:rPr>
                <w:rFonts w:ascii="宋体" w:hAnsi="宋体" w:eastAsia="宋体"/>
                <w:sz w:val="16"/>
              </w:rPr>
              <w:t>0.00</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2D9794F4">
            <w:pPr>
              <w:jc w:val="center"/>
            </w:pPr>
            <w:r>
              <w:rPr>
                <w:rFonts w:ascii="宋体" w:hAnsi="宋体" w:eastAsia="宋体"/>
                <w:sz w:val="16"/>
              </w:rPr>
              <w:t>0.00</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4E0134FE">
            <w:pPr>
              <w:jc w:val="center"/>
            </w:pPr>
            <w:r>
              <w:rPr>
                <w:rFonts w:ascii="宋体" w:hAnsi="宋体" w:eastAsia="宋体"/>
                <w:sz w:val="16"/>
              </w:rPr>
              <w:t>0.00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FF00F53">
            <w:pPr>
              <w:jc w:val="center"/>
            </w:pPr>
            <w:r>
              <w:rPr>
                <w:rFonts w:ascii="宋体" w:hAnsi="宋体" w:eastAsia="宋体"/>
                <w:sz w:val="16"/>
              </w:rPr>
              <w:t>—</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568C3E3">
            <w:pPr>
              <w:jc w:val="center"/>
            </w:pPr>
            <w:r>
              <w:rPr>
                <w:rFonts w:ascii="宋体" w:hAnsi="宋体" w:eastAsia="宋体"/>
                <w:sz w:val="16"/>
              </w:rPr>
              <w:t>—</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83BC2B1">
            <w:pPr>
              <w:jc w:val="center"/>
            </w:pPr>
            <w:r>
              <w:rPr>
                <w:rFonts w:ascii="宋体" w:hAnsi="宋体" w:eastAsia="宋体"/>
                <w:sz w:val="16"/>
              </w:rPr>
              <w:t>—</w:t>
            </w:r>
          </w:p>
        </w:tc>
      </w:tr>
      <w:tr w14:paraId="66DDBCAB">
        <w:tblPrEx>
          <w:tblCellMar>
            <w:top w:w="0" w:type="dxa"/>
            <w:left w:w="108" w:type="dxa"/>
            <w:bottom w:w="0" w:type="dxa"/>
            <w:right w:w="108" w:type="dxa"/>
          </w:tblCellMar>
        </w:tblPrEx>
        <w:trPr>
          <w:trHeight w:val="111" w:hRule="atLeast"/>
        </w:trPr>
        <w:tc>
          <w:tcPr>
            <w:tcW w:w="12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9F6EA">
            <w:pPr>
              <w:jc w:val="center"/>
            </w:pPr>
            <w:r>
              <w:rPr>
                <w:rFonts w:ascii="宋体" w:hAnsi="宋体" w:eastAsia="宋体"/>
                <w:sz w:val="16"/>
              </w:rPr>
              <w:t>年度总体目标</w:t>
            </w:r>
          </w:p>
        </w:tc>
        <w:tc>
          <w:tcPr>
            <w:tcW w:w="384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766826">
            <w:pPr>
              <w:jc w:val="center"/>
            </w:pPr>
            <w:r>
              <w:rPr>
                <w:rFonts w:ascii="宋体" w:hAnsi="宋体" w:eastAsia="宋体"/>
                <w:sz w:val="16"/>
              </w:rPr>
              <w:t>预期目标</w:t>
            </w:r>
          </w:p>
        </w:tc>
        <w:tc>
          <w:tcPr>
            <w:tcW w:w="4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7098F">
            <w:pPr>
              <w:jc w:val="center"/>
            </w:pPr>
            <w:r>
              <w:rPr>
                <w:rFonts w:ascii="宋体" w:hAnsi="宋体" w:eastAsia="宋体"/>
                <w:sz w:val="16"/>
              </w:rPr>
              <w:t>实际完成情况</w:t>
            </w:r>
          </w:p>
        </w:tc>
      </w:tr>
      <w:tr w14:paraId="40355B20">
        <w:tblPrEx>
          <w:tblCellMar>
            <w:top w:w="0" w:type="dxa"/>
            <w:left w:w="108" w:type="dxa"/>
            <w:bottom w:w="0" w:type="dxa"/>
            <w:right w:w="108" w:type="dxa"/>
          </w:tblCellMar>
        </w:tblPrEx>
        <w:trPr>
          <w:trHeight w:val="1855"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18A41589"/>
        </w:tc>
        <w:tc>
          <w:tcPr>
            <w:tcW w:w="384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EF2CF8">
            <w:pPr>
              <w:jc w:val="both"/>
            </w:pPr>
            <w:r>
              <w:rPr>
                <w:rFonts w:ascii="宋体" w:hAnsi="宋体" w:eastAsia="宋体"/>
                <w:sz w:val="16"/>
              </w:rPr>
              <w:t>单位基本职能：阿图什市地方志资料的收集、整理、编撰工作，并发挥地情资料的信息作用，为上级单位提供地情资料，做好每年的地方性综合年鉴资料的收集、编撰和出版工作。</w:t>
            </w:r>
            <w:r>
              <w:rPr>
                <w:rFonts w:ascii="宋体" w:hAnsi="宋体" w:eastAsia="宋体"/>
                <w:sz w:val="16"/>
              </w:rPr>
              <w:br w:type="textWrapping"/>
            </w:r>
            <w:r>
              <w:rPr>
                <w:rFonts w:ascii="宋体" w:hAnsi="宋体" w:eastAsia="宋体"/>
                <w:sz w:val="16"/>
              </w:rPr>
              <w:t>机构设置及人员配置：下设1个处室，编制数5，实有人数11人，在职5人，退休6人。</w:t>
            </w:r>
            <w:r>
              <w:rPr>
                <w:rFonts w:ascii="宋体" w:hAnsi="宋体" w:eastAsia="宋体"/>
                <w:sz w:val="16"/>
              </w:rPr>
              <w:br w:type="textWrapping"/>
            </w:r>
            <w:r>
              <w:rPr>
                <w:rFonts w:ascii="宋体" w:hAnsi="宋体" w:eastAsia="宋体"/>
                <w:sz w:val="16"/>
              </w:rPr>
              <w:t>中长期规划：全面开展《阿图什年鉴2022》《阿图什年鉴2023》印刷出版，按期完成一年一鉴的出版工作。</w:t>
            </w:r>
            <w:r>
              <w:rPr>
                <w:rFonts w:ascii="宋体" w:hAnsi="宋体" w:eastAsia="宋体"/>
                <w:sz w:val="16"/>
              </w:rPr>
              <w:br w:type="textWrapping"/>
            </w:r>
            <w:r>
              <w:rPr>
                <w:rFonts w:ascii="宋体" w:hAnsi="宋体" w:eastAsia="宋体"/>
                <w:sz w:val="16"/>
              </w:rPr>
              <w:t>保障部门在职5人、退休6人的各项工资福利补助正常发放及部门正常运转；编制印刷出版《阿图什市年鉴（2022）》《阿图什市年鉴（2023）》1000册，深化对“访民情惠民生聚民心”活动的学习宣传。切实把党的主张和政策传递给各族群众。</w:t>
            </w:r>
          </w:p>
        </w:tc>
        <w:tc>
          <w:tcPr>
            <w:tcW w:w="4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E307CD">
            <w:pPr>
              <w:jc w:val="both"/>
            </w:pPr>
            <w:r>
              <w:rPr>
                <w:rFonts w:ascii="宋体" w:hAnsi="宋体" w:eastAsia="宋体"/>
                <w:sz w:val="16"/>
              </w:rPr>
              <w:t>本单位共计支出131.67万元，主要用于保障部门在职5人、退休6人的各项工资福利补助正常发放及部门正常运转，完成编制印刷出版《阿图什市年鉴（2022）》《阿图什市年鉴（2023）》1000册，深化对“访民情惠民生聚民心”活动的学习宣传，努力把党的主张和政策传递给各族群众。</w:t>
            </w:r>
          </w:p>
        </w:tc>
      </w:tr>
      <w:tr w14:paraId="6643F49D">
        <w:tblPrEx>
          <w:tblCellMar>
            <w:top w:w="0" w:type="dxa"/>
            <w:left w:w="108" w:type="dxa"/>
            <w:bottom w:w="0" w:type="dxa"/>
            <w:right w:w="108" w:type="dxa"/>
          </w:tblCellMar>
        </w:tblPrEx>
        <w:trPr>
          <w:trHeight w:val="214" w:hRule="atLeast"/>
        </w:trPr>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9B9EDE1">
            <w:pPr>
              <w:jc w:val="center"/>
            </w:pPr>
            <w:r>
              <w:rPr>
                <w:rFonts w:ascii="宋体" w:hAnsi="宋体" w:eastAsia="宋体"/>
                <w:sz w:val="16"/>
              </w:rPr>
              <w:t>一级指标</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9441404">
            <w:pPr>
              <w:jc w:val="center"/>
            </w:pPr>
            <w:r>
              <w:rPr>
                <w:rFonts w:ascii="宋体" w:hAnsi="宋体" w:eastAsia="宋体"/>
                <w:sz w:val="16"/>
              </w:rPr>
              <w:t>二级指标</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3CFE2FDE">
            <w:pPr>
              <w:jc w:val="center"/>
            </w:pPr>
            <w:r>
              <w:rPr>
                <w:rFonts w:ascii="宋体" w:hAnsi="宋体" w:eastAsia="宋体"/>
                <w:sz w:val="16"/>
              </w:rPr>
              <w:t>三级指标</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5AFAC35B">
            <w:pPr>
              <w:jc w:val="center"/>
            </w:pPr>
            <w:r>
              <w:rPr>
                <w:rFonts w:ascii="宋体" w:hAnsi="宋体" w:eastAsia="宋体"/>
                <w:sz w:val="16"/>
              </w:rPr>
              <w:t>指标值</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1B8F02CC">
            <w:pPr>
              <w:jc w:val="center"/>
            </w:pPr>
            <w:r>
              <w:rPr>
                <w:rFonts w:ascii="宋体" w:hAnsi="宋体" w:eastAsia="宋体"/>
                <w:sz w:val="16"/>
              </w:rPr>
              <w:t>指标值设定依据</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8F14387">
            <w:pPr>
              <w:jc w:val="center"/>
            </w:pPr>
            <w:r>
              <w:rPr>
                <w:rFonts w:ascii="宋体" w:hAnsi="宋体" w:eastAsia="宋体"/>
                <w:sz w:val="16"/>
              </w:rPr>
              <w:t>分值权重</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BE33F03">
            <w:pPr>
              <w:jc w:val="center"/>
            </w:pPr>
            <w:r>
              <w:rPr>
                <w:rFonts w:ascii="宋体" w:hAnsi="宋体" w:eastAsia="宋体"/>
                <w:sz w:val="16"/>
              </w:rPr>
              <w:t>实际完成值</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3443FB1B">
            <w:pPr>
              <w:jc w:val="center"/>
            </w:pPr>
            <w:r>
              <w:rPr>
                <w:rFonts w:ascii="宋体" w:hAnsi="宋体" w:eastAsia="宋体"/>
                <w:sz w:val="16"/>
              </w:rPr>
              <w:t>得分</w:t>
            </w:r>
          </w:p>
        </w:tc>
      </w:tr>
      <w:tr w14:paraId="01968E81">
        <w:tblPrEx>
          <w:tblCellMar>
            <w:top w:w="0" w:type="dxa"/>
            <w:left w:w="108" w:type="dxa"/>
            <w:bottom w:w="0" w:type="dxa"/>
            <w:right w:w="108" w:type="dxa"/>
          </w:tblCellMar>
        </w:tblPrEx>
        <w:trPr>
          <w:trHeight w:val="214" w:hRule="atLeast"/>
        </w:trPr>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C4C2986">
            <w:pPr>
              <w:jc w:val="center"/>
            </w:pPr>
            <w:r>
              <w:rPr>
                <w:rFonts w:ascii="宋体" w:hAnsi="宋体" w:eastAsia="宋体"/>
                <w:sz w:val="16"/>
              </w:rPr>
              <w:t>管理效率</w:t>
            </w:r>
          </w:p>
        </w:tc>
        <w:tc>
          <w:tcPr>
            <w:tcW w:w="12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5B99F">
            <w:pPr>
              <w:jc w:val="center"/>
            </w:pPr>
            <w:r>
              <w:rPr>
                <w:rFonts w:ascii="宋体" w:hAnsi="宋体" w:eastAsia="宋体"/>
                <w:sz w:val="16"/>
              </w:rPr>
              <w:t>质量指标</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19E84F0">
            <w:pPr>
              <w:jc w:val="center"/>
            </w:pPr>
            <w:r>
              <w:rPr>
                <w:rFonts w:ascii="宋体" w:hAnsi="宋体" w:eastAsia="宋体"/>
                <w:sz w:val="16"/>
              </w:rPr>
              <w:t>年鉴成品合格率</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0365A413">
            <w:pPr>
              <w:jc w:val="center"/>
            </w:pPr>
            <w:r>
              <w:rPr>
                <w:rFonts w:ascii="宋体" w:hAnsi="宋体" w:eastAsia="宋体"/>
                <w:sz w:val="16"/>
              </w:rPr>
              <w:t>=100%</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7A7C9017">
            <w:pPr>
              <w:jc w:val="center"/>
            </w:pPr>
            <w:r>
              <w:rPr>
                <w:rFonts w:ascii="宋体" w:hAnsi="宋体" w:eastAsia="宋体"/>
                <w:sz w:val="16"/>
              </w:rPr>
              <w:t>2024年度工作计划</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0A2E05D">
            <w:pPr>
              <w:jc w:val="center"/>
            </w:pPr>
            <w:r>
              <w:rPr>
                <w:rFonts w:ascii="宋体" w:hAnsi="宋体" w:eastAsia="宋体"/>
                <w:sz w:val="16"/>
              </w:rPr>
              <w:t>18</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B72644F">
            <w:pPr>
              <w:jc w:val="center"/>
            </w:pPr>
            <w:r>
              <w:rPr>
                <w:rFonts w:ascii="宋体" w:hAnsi="宋体" w:eastAsia="宋体"/>
                <w:sz w:val="16"/>
              </w:rPr>
              <w:t>100%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92B28F9">
            <w:pPr>
              <w:jc w:val="center"/>
            </w:pPr>
            <w:r>
              <w:rPr>
                <w:rFonts w:ascii="宋体" w:hAnsi="宋体" w:eastAsia="宋体"/>
                <w:sz w:val="16"/>
              </w:rPr>
              <w:t>18</w:t>
            </w:r>
          </w:p>
        </w:tc>
      </w:tr>
      <w:tr w14:paraId="2D90FB4D">
        <w:tblPrEx>
          <w:tblCellMar>
            <w:top w:w="0" w:type="dxa"/>
            <w:left w:w="108" w:type="dxa"/>
            <w:bottom w:w="0" w:type="dxa"/>
            <w:right w:w="108" w:type="dxa"/>
          </w:tblCellMar>
        </w:tblPrEx>
        <w:trPr>
          <w:trHeight w:val="214" w:hRule="atLeast"/>
        </w:trPr>
        <w:tc>
          <w:tcPr>
            <w:tcW w:w="12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D6E61">
            <w:pPr>
              <w:jc w:val="center"/>
            </w:pPr>
            <w:r>
              <w:rPr>
                <w:rFonts w:ascii="宋体" w:hAnsi="宋体" w:eastAsia="宋体"/>
                <w:sz w:val="16"/>
              </w:rPr>
              <w:t>履职效能</w:t>
            </w:r>
          </w:p>
        </w:tc>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30A1B5C7"/>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91600D7">
            <w:pPr>
              <w:jc w:val="center"/>
            </w:pPr>
            <w:r>
              <w:rPr>
                <w:rFonts w:ascii="宋体" w:hAnsi="宋体" w:eastAsia="宋体"/>
                <w:sz w:val="16"/>
              </w:rPr>
              <w:t>出版年鉴书籍数量</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21B6AB54">
            <w:pPr>
              <w:jc w:val="center"/>
            </w:pPr>
            <w:r>
              <w:rPr>
                <w:rFonts w:ascii="宋体" w:hAnsi="宋体" w:eastAsia="宋体"/>
                <w:sz w:val="16"/>
              </w:rPr>
              <w:t>&lt;=1000册</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2EBDAF5C">
            <w:pPr>
              <w:jc w:val="center"/>
            </w:pPr>
            <w:r>
              <w:rPr>
                <w:rFonts w:ascii="宋体" w:hAnsi="宋体" w:eastAsia="宋体"/>
                <w:sz w:val="16"/>
              </w:rPr>
              <w:t>2024年度工作计划</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0851A33">
            <w:pPr>
              <w:jc w:val="center"/>
            </w:pPr>
            <w:r>
              <w:rPr>
                <w:rFonts w:ascii="宋体" w:hAnsi="宋体" w:eastAsia="宋体"/>
                <w:sz w:val="16"/>
              </w:rPr>
              <w:t>18</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04C2FED">
            <w:pPr>
              <w:jc w:val="center"/>
            </w:pPr>
            <w:r>
              <w:rPr>
                <w:rFonts w:ascii="宋体" w:hAnsi="宋体" w:eastAsia="宋体"/>
                <w:sz w:val="16"/>
              </w:rPr>
              <w:t>1000册</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05EA63E">
            <w:pPr>
              <w:jc w:val="center"/>
            </w:pPr>
            <w:r>
              <w:rPr>
                <w:rFonts w:ascii="宋体" w:hAnsi="宋体" w:eastAsia="宋体"/>
                <w:sz w:val="16"/>
              </w:rPr>
              <w:t>18</w:t>
            </w:r>
          </w:p>
        </w:tc>
      </w:tr>
      <w:tr w14:paraId="674E56F2">
        <w:tblPrEx>
          <w:tblCellMar>
            <w:top w:w="0" w:type="dxa"/>
            <w:left w:w="108" w:type="dxa"/>
            <w:bottom w:w="0" w:type="dxa"/>
            <w:right w:w="108" w:type="dxa"/>
          </w:tblCellMar>
        </w:tblPrEx>
        <w:trPr>
          <w:trHeight w:val="214"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6E9F31D4"/>
        </w:tc>
        <w:tc>
          <w:tcPr>
            <w:tcW w:w="12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89FFA">
            <w:pPr>
              <w:jc w:val="center"/>
            </w:pPr>
            <w:r>
              <w:rPr>
                <w:rFonts w:ascii="宋体" w:hAnsi="宋体" w:eastAsia="宋体"/>
                <w:sz w:val="16"/>
              </w:rPr>
              <w:t>数量指标</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B99E90D">
            <w:pPr>
              <w:jc w:val="center"/>
            </w:pPr>
            <w:r>
              <w:rPr>
                <w:rFonts w:ascii="宋体" w:hAnsi="宋体" w:eastAsia="宋体"/>
                <w:sz w:val="16"/>
              </w:rPr>
              <w:t>保障单位项目数量</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13E751C6">
            <w:pPr>
              <w:jc w:val="center"/>
            </w:pPr>
            <w:r>
              <w:rPr>
                <w:rFonts w:ascii="宋体" w:hAnsi="宋体" w:eastAsia="宋体"/>
                <w:sz w:val="16"/>
              </w:rPr>
              <w:t>=2个</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09A144B5">
            <w:pPr>
              <w:jc w:val="center"/>
            </w:pPr>
            <w:r>
              <w:rPr>
                <w:rFonts w:ascii="宋体" w:hAnsi="宋体" w:eastAsia="宋体"/>
                <w:sz w:val="16"/>
              </w:rPr>
              <w:t>2024年度工作计划</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7A8B4AFC">
            <w:pPr>
              <w:jc w:val="center"/>
            </w:pPr>
            <w:r>
              <w:rPr>
                <w:rFonts w:ascii="宋体" w:hAnsi="宋体" w:eastAsia="宋体"/>
                <w:sz w:val="16"/>
              </w:rPr>
              <w:t>18</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EB64036">
            <w:pPr>
              <w:jc w:val="center"/>
            </w:pPr>
            <w:r>
              <w:rPr>
                <w:rFonts w:ascii="宋体" w:hAnsi="宋体" w:eastAsia="宋体"/>
                <w:sz w:val="16"/>
              </w:rPr>
              <w:t>2个</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31BBC2DE">
            <w:pPr>
              <w:jc w:val="center"/>
            </w:pPr>
            <w:r>
              <w:rPr>
                <w:rFonts w:ascii="宋体" w:hAnsi="宋体" w:eastAsia="宋体"/>
                <w:sz w:val="16"/>
              </w:rPr>
              <w:t>18</w:t>
            </w:r>
          </w:p>
        </w:tc>
      </w:tr>
      <w:tr w14:paraId="0FE6544B">
        <w:tblPrEx>
          <w:tblCellMar>
            <w:top w:w="0" w:type="dxa"/>
            <w:left w:w="108" w:type="dxa"/>
            <w:bottom w:w="0" w:type="dxa"/>
            <w:right w:w="108" w:type="dxa"/>
          </w:tblCellMar>
        </w:tblPrEx>
        <w:trPr>
          <w:trHeight w:val="214"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187C78D6"/>
        </w:tc>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2FD52AC4"/>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4D1653B">
            <w:pPr>
              <w:jc w:val="center"/>
            </w:pPr>
            <w:r>
              <w:rPr>
                <w:rFonts w:ascii="宋体" w:hAnsi="宋体" w:eastAsia="宋体"/>
                <w:sz w:val="16"/>
              </w:rPr>
              <w:t>年鉴征集资料进度</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62394877">
            <w:pPr>
              <w:jc w:val="center"/>
            </w:pPr>
            <w:r>
              <w:rPr>
                <w:rFonts w:ascii="宋体" w:hAnsi="宋体" w:eastAsia="宋体"/>
                <w:sz w:val="16"/>
              </w:rPr>
              <w:t>&gt;=95%</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24F58C45">
            <w:pPr>
              <w:jc w:val="center"/>
            </w:pPr>
            <w:r>
              <w:rPr>
                <w:rFonts w:ascii="宋体" w:hAnsi="宋体" w:eastAsia="宋体"/>
                <w:sz w:val="16"/>
              </w:rPr>
              <w:t>2024年度工作计划</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62893A81">
            <w:pPr>
              <w:jc w:val="center"/>
            </w:pPr>
            <w:r>
              <w:rPr>
                <w:rFonts w:ascii="宋体" w:hAnsi="宋体" w:eastAsia="宋体"/>
                <w:sz w:val="16"/>
              </w:rPr>
              <w:t>18</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CB58759">
            <w:pPr>
              <w:jc w:val="center"/>
            </w:pPr>
            <w:r>
              <w:rPr>
                <w:rFonts w:ascii="宋体" w:hAnsi="宋体" w:eastAsia="宋体"/>
                <w:sz w:val="16"/>
              </w:rPr>
              <w:t>100%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0207D9DF">
            <w:pPr>
              <w:jc w:val="center"/>
            </w:pPr>
            <w:r>
              <w:rPr>
                <w:rFonts w:ascii="宋体" w:hAnsi="宋体" w:eastAsia="宋体"/>
                <w:sz w:val="16"/>
              </w:rPr>
              <w:t>18</w:t>
            </w:r>
          </w:p>
        </w:tc>
      </w:tr>
      <w:tr w14:paraId="360E813E">
        <w:tblPrEx>
          <w:tblCellMar>
            <w:top w:w="0" w:type="dxa"/>
            <w:left w:w="108" w:type="dxa"/>
            <w:bottom w:w="0" w:type="dxa"/>
            <w:right w:w="108" w:type="dxa"/>
          </w:tblCellMar>
        </w:tblPrEx>
        <w:trPr>
          <w:trHeight w:val="119" w:hRule="atLeast"/>
        </w:trPr>
        <w:tc>
          <w:tcPr>
            <w:tcW w:w="1200" w:type="dxa"/>
            <w:vMerge w:val="continue"/>
            <w:tcBorders>
              <w:top w:val="single" w:color="auto" w:sz="10" w:space="0"/>
              <w:left w:val="single" w:color="auto" w:sz="10" w:space="0"/>
              <w:bottom w:val="single" w:color="auto" w:sz="10" w:space="0"/>
              <w:right w:val="single" w:color="auto" w:sz="10" w:space="0"/>
              <w:insideV w:val="single" w:sz="10" w:space="0"/>
            </w:tcBorders>
          </w:tcPr>
          <w:p w14:paraId="6F8FB8E8"/>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4EFF61B8">
            <w:pPr>
              <w:jc w:val="center"/>
            </w:pPr>
            <w:r>
              <w:rPr>
                <w:rFonts w:ascii="宋体" w:hAnsi="宋体" w:eastAsia="宋体"/>
                <w:sz w:val="16"/>
              </w:rPr>
              <w:t>时效指标</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547DACD5">
            <w:pPr>
              <w:jc w:val="center"/>
            </w:pPr>
            <w:r>
              <w:rPr>
                <w:rFonts w:ascii="宋体" w:hAnsi="宋体" w:eastAsia="宋体"/>
                <w:sz w:val="16"/>
              </w:rPr>
              <w:t>资料征集达标率</w:t>
            </w:r>
          </w:p>
        </w:tc>
        <w:tc>
          <w:tcPr>
            <w:tcW w:w="1446" w:type="dxa"/>
            <w:tcBorders>
              <w:top w:val="single" w:color="auto" w:sz="10" w:space="0"/>
              <w:left w:val="single" w:color="auto" w:sz="10" w:space="0"/>
              <w:bottom w:val="single" w:color="auto" w:sz="10" w:space="0"/>
              <w:right w:val="single" w:color="auto" w:sz="10" w:space="0"/>
              <w:insideV w:val="single" w:sz="10" w:space="0"/>
            </w:tcBorders>
            <w:vAlign w:val="center"/>
          </w:tcPr>
          <w:p w14:paraId="23AB1C6B">
            <w:pPr>
              <w:jc w:val="center"/>
            </w:pPr>
            <w:r>
              <w:rPr>
                <w:rFonts w:ascii="宋体" w:hAnsi="宋体" w:eastAsia="宋体"/>
                <w:sz w:val="16"/>
              </w:rPr>
              <w:t>=100%</w:t>
            </w:r>
          </w:p>
        </w:tc>
        <w:tc>
          <w:tcPr>
            <w:tcW w:w="954" w:type="dxa"/>
            <w:tcBorders>
              <w:top w:val="single" w:color="auto" w:sz="10" w:space="0"/>
              <w:left w:val="single" w:color="auto" w:sz="10" w:space="0"/>
              <w:bottom w:val="single" w:color="auto" w:sz="10" w:space="0"/>
              <w:right w:val="single" w:color="auto" w:sz="10" w:space="0"/>
              <w:insideV w:val="single" w:sz="10" w:space="0"/>
            </w:tcBorders>
            <w:vAlign w:val="center"/>
          </w:tcPr>
          <w:p w14:paraId="0D74BD4F">
            <w:pPr>
              <w:jc w:val="center"/>
            </w:pPr>
            <w:r>
              <w:rPr>
                <w:rFonts w:ascii="宋体" w:hAnsi="宋体" w:eastAsia="宋体"/>
                <w:sz w:val="16"/>
              </w:rPr>
              <w:t>2024年度工作计划</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A92D51B">
            <w:pPr>
              <w:jc w:val="center"/>
            </w:pPr>
            <w:r>
              <w:rPr>
                <w:rFonts w:ascii="宋体" w:hAnsi="宋体" w:eastAsia="宋体"/>
                <w:sz w:val="16"/>
              </w:rPr>
              <w:t>18</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16095CB2">
            <w:pPr>
              <w:jc w:val="center"/>
            </w:pPr>
            <w:r>
              <w:rPr>
                <w:rFonts w:ascii="宋体" w:hAnsi="宋体" w:eastAsia="宋体"/>
                <w:sz w:val="16"/>
              </w:rPr>
              <w:t>100%</w:t>
            </w:r>
          </w:p>
        </w:tc>
        <w:tc>
          <w:tcPr>
            <w:tcW w:w="1200" w:type="dxa"/>
            <w:tcBorders>
              <w:top w:val="single" w:color="auto" w:sz="10" w:space="0"/>
              <w:left w:val="single" w:color="auto" w:sz="10" w:space="0"/>
              <w:bottom w:val="single" w:color="auto" w:sz="10" w:space="0"/>
              <w:right w:val="single" w:color="auto" w:sz="10" w:space="0"/>
              <w:insideV w:val="single" w:sz="10" w:space="0"/>
            </w:tcBorders>
            <w:vAlign w:val="center"/>
          </w:tcPr>
          <w:p w14:paraId="2023B216">
            <w:pPr>
              <w:jc w:val="center"/>
            </w:pPr>
            <w:r>
              <w:rPr>
                <w:rFonts w:ascii="宋体" w:hAnsi="宋体" w:eastAsia="宋体"/>
                <w:sz w:val="16"/>
              </w:rPr>
              <w:t>18</w:t>
            </w:r>
          </w:p>
        </w:tc>
      </w:tr>
    </w:tbl>
    <w:p w14:paraId="61006F73">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5"/>
        <w:gridCol w:w="625"/>
        <w:gridCol w:w="627"/>
        <w:gridCol w:w="625"/>
        <w:gridCol w:w="627"/>
        <w:gridCol w:w="856"/>
        <w:gridCol w:w="632"/>
        <w:gridCol w:w="614"/>
        <w:gridCol w:w="629"/>
      </w:tblGrid>
      <w:tr w14:paraId="1F941EE5">
        <w:tblPrEx>
          <w:tblCellMar>
            <w:top w:w="0" w:type="dxa"/>
            <w:left w:w="108" w:type="dxa"/>
            <w:bottom w:w="0" w:type="dxa"/>
            <w:right w:w="108" w:type="dxa"/>
          </w:tblCellMar>
        </w:tblPrEx>
        <w:tc>
          <w:tcPr>
            <w:tcW w:w="8848" w:type="dxa"/>
            <w:gridSpan w:val="14"/>
            <w:vAlign w:val="center"/>
          </w:tcPr>
          <w:p w14:paraId="50310953">
            <w:pPr>
              <w:jc w:val="center"/>
            </w:pPr>
            <w:r>
              <w:rPr>
                <w:rFonts w:ascii="宋体" w:hAnsi="宋体" w:eastAsia="宋体"/>
                <w:sz w:val="24"/>
              </w:rPr>
              <w:t>项目支出绩效自评表</w:t>
            </w:r>
          </w:p>
        </w:tc>
      </w:tr>
      <w:tr w14:paraId="2842AAF7">
        <w:tblPrEx>
          <w:tblCellMar>
            <w:top w:w="0" w:type="dxa"/>
            <w:left w:w="108" w:type="dxa"/>
            <w:bottom w:w="0" w:type="dxa"/>
            <w:right w:w="108" w:type="dxa"/>
          </w:tblCellMar>
        </w:tblPrEx>
        <w:tc>
          <w:tcPr>
            <w:tcW w:w="8848" w:type="dxa"/>
            <w:gridSpan w:val="14"/>
            <w:vAlign w:val="center"/>
          </w:tcPr>
          <w:p w14:paraId="2700B35F">
            <w:pPr>
              <w:jc w:val="center"/>
            </w:pPr>
            <w:r>
              <w:rPr>
                <w:rFonts w:ascii="宋体" w:hAnsi="宋体" w:eastAsia="宋体"/>
                <w:sz w:val="24"/>
              </w:rPr>
              <w:t>(2024年度)</w:t>
            </w:r>
          </w:p>
        </w:tc>
      </w:tr>
      <w:tr w14:paraId="1EFF24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CE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184821">
            <w:pPr>
              <w:jc w:val="center"/>
            </w:pPr>
            <w:r>
              <w:rPr>
                <w:rFonts w:ascii="宋体" w:hAnsi="宋体" w:eastAsia="宋体"/>
                <w:sz w:val="16"/>
              </w:rPr>
              <w:t>《阿图什市年鉴2023》《阿图什市年鉴2024》出版印刷经费项目</w:t>
            </w:r>
          </w:p>
        </w:tc>
      </w:tr>
      <w:tr w14:paraId="5D913F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7A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F62D1">
            <w:pPr>
              <w:jc w:val="center"/>
            </w:pPr>
            <w:r>
              <w:rPr>
                <w:rFonts w:ascii="宋体" w:hAnsi="宋体" w:eastAsia="宋体"/>
                <w:sz w:val="16"/>
              </w:rPr>
              <w:t>阿图什市地方志编纂委员会办公室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4D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BDB69">
            <w:pPr>
              <w:jc w:val="center"/>
            </w:pPr>
            <w:r>
              <w:rPr>
                <w:rFonts w:ascii="宋体" w:hAnsi="宋体" w:eastAsia="宋体"/>
                <w:sz w:val="16"/>
              </w:rPr>
              <w:t>阿图什市地方志编纂委员会办公室</w:t>
            </w:r>
          </w:p>
        </w:tc>
      </w:tr>
      <w:tr w14:paraId="39A20A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179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19E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45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179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7B2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99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8A8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D802">
            <w:pPr>
              <w:jc w:val="center"/>
            </w:pPr>
            <w:r>
              <w:rPr>
                <w:rFonts w:ascii="宋体" w:hAnsi="宋体" w:eastAsia="宋体"/>
                <w:sz w:val="16"/>
              </w:rPr>
              <w:t>得分</w:t>
            </w:r>
          </w:p>
        </w:tc>
      </w:tr>
      <w:tr w14:paraId="4E572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9E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B8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CBEA0">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E1ED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AC4BD">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5FF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296DF">
            <w:pPr>
              <w:jc w:val="center"/>
            </w:pPr>
            <w:r>
              <w:rPr>
                <w:rFonts w:ascii="宋体" w:hAnsi="宋体" w:eastAsia="宋体"/>
                <w:sz w:val="16"/>
              </w:rPr>
              <w:t>70.7%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A107">
            <w:pPr>
              <w:jc w:val="center"/>
            </w:pPr>
            <w:r>
              <w:rPr>
                <w:rFonts w:ascii="宋体" w:hAnsi="宋体" w:eastAsia="宋体"/>
                <w:sz w:val="16"/>
              </w:rPr>
              <w:t>2.68分</w:t>
            </w:r>
          </w:p>
        </w:tc>
      </w:tr>
      <w:tr w14:paraId="28CBF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F2C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131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10D9">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8492">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1215A">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E7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263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2323">
            <w:pPr>
              <w:jc w:val="center"/>
            </w:pPr>
            <w:r>
              <w:rPr>
                <w:rFonts w:ascii="宋体" w:hAnsi="宋体" w:eastAsia="宋体"/>
                <w:sz w:val="16"/>
              </w:rPr>
              <w:t>—</w:t>
            </w:r>
          </w:p>
        </w:tc>
      </w:tr>
      <w:tr w14:paraId="2E415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648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29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254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692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0EB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AD9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60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7CC6">
            <w:pPr>
              <w:jc w:val="center"/>
            </w:pPr>
            <w:r>
              <w:rPr>
                <w:rFonts w:ascii="宋体" w:hAnsi="宋体" w:eastAsia="宋体"/>
                <w:sz w:val="16"/>
              </w:rPr>
              <w:t>—</w:t>
            </w:r>
          </w:p>
        </w:tc>
      </w:tr>
      <w:tr w14:paraId="450F11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A17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3C4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04BB7">
            <w:pPr>
              <w:jc w:val="center"/>
            </w:pPr>
            <w:r>
              <w:rPr>
                <w:rFonts w:ascii="宋体" w:hAnsi="宋体" w:eastAsia="宋体"/>
                <w:sz w:val="16"/>
              </w:rPr>
              <w:t>实际完成情况</w:t>
            </w:r>
          </w:p>
        </w:tc>
      </w:tr>
      <w:tr w14:paraId="6D190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F0A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BDA51">
            <w:pPr>
              <w:jc w:val="both"/>
            </w:pPr>
            <w:r>
              <w:rPr>
                <w:rFonts w:ascii="宋体" w:hAnsi="宋体" w:eastAsia="宋体"/>
                <w:sz w:val="16"/>
              </w:rPr>
              <w:t>本项目总投资32万元，主要用于编制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w:t>
            </w:r>
            <w:r>
              <w:rPr>
                <w:rFonts w:hint="eastAsia" w:ascii="宋体" w:hAnsi="宋体"/>
                <w:sz w:val="16"/>
                <w:lang w:eastAsia="zh-CN"/>
              </w:rPr>
              <w:t>目的</w:t>
            </w:r>
            <w:r>
              <w:rPr>
                <w:rFonts w:ascii="宋体" w:hAnsi="宋体" w:eastAsia="宋体"/>
                <w:sz w:val="16"/>
              </w:rPr>
              <w:t xml:space="preserve">实施达到对史志文化资源进行挖掘、开发、保护和利用，做好“存史、资政、教化、育人”的效果。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EF2037">
            <w:pPr>
              <w:jc w:val="both"/>
            </w:pPr>
            <w:r>
              <w:rPr>
                <w:rFonts w:ascii="宋体" w:hAnsi="宋体" w:eastAsia="宋体"/>
                <w:sz w:val="16"/>
              </w:rPr>
              <w:t xml:space="preserve">本项目共计支出22.6119万元，用于印刷《阿图什市年鉴（2023）》500册、《阿图什市年鉴（2024）》500册；通过实施本项目有利于全面、详实、客观地反映我市政治、经济、文化等各个领域取得的重大成就及新的变化，通过该项目实施达到对史志文化资源进行挖掘、开发、保护和利用，做好“存史、资政、教化、育人”的效果。 </w:t>
            </w:r>
            <w:r>
              <w:rPr>
                <w:rFonts w:ascii="宋体" w:hAnsi="宋体" w:eastAsia="宋体"/>
                <w:sz w:val="16"/>
              </w:rPr>
              <w:br w:type="textWrapping"/>
            </w:r>
          </w:p>
        </w:tc>
      </w:tr>
      <w:tr w14:paraId="68E78B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5DB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39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51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36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D1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CB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75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ED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B1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0E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65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FC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7CDE4">
            <w:pPr>
              <w:jc w:val="center"/>
            </w:pPr>
            <w:r>
              <w:rPr>
                <w:rFonts w:ascii="宋体" w:hAnsi="宋体" w:eastAsia="宋体"/>
                <w:sz w:val="16"/>
              </w:rPr>
              <w:t>偏差原因分析及改进措施</w:t>
            </w:r>
          </w:p>
        </w:tc>
      </w:tr>
      <w:tr w14:paraId="72DFC9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51D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516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8C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FD4E">
            <w:pPr>
              <w:jc w:val="center"/>
            </w:pPr>
            <w:r>
              <w:rPr>
                <w:rFonts w:ascii="宋体" w:hAnsi="宋体" w:eastAsia="宋体"/>
                <w:sz w:val="16"/>
              </w:rPr>
              <w:t>出版年鉴书籍数量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F99E">
            <w:pPr>
              <w:jc w:val="center"/>
            </w:pPr>
            <w:r>
              <w:rPr>
                <w:rFonts w:ascii="宋体" w:hAnsi="宋体" w:eastAsia="宋体"/>
                <w:sz w:val="16"/>
              </w:rPr>
              <w:t>&gt;=1000册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5F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0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2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CF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7F7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B75F">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29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697CB">
            <w:pPr>
              <w:jc w:val="center"/>
            </w:pPr>
            <w:r>
              <w:rPr>
                <w:rFonts w:ascii="宋体" w:hAnsi="宋体" w:eastAsia="宋体"/>
                <w:sz w:val="16"/>
              </w:rPr>
              <w:t>原因：目前年鉴已完成印刷工作，尚未发行出版，因此存在偏差；措施：下一年度做好项目管理，提高工作执行进度，减少偏差。</w:t>
            </w:r>
          </w:p>
        </w:tc>
      </w:tr>
      <w:tr w14:paraId="1696F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7F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12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CC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A748">
            <w:pPr>
              <w:jc w:val="center"/>
            </w:pPr>
            <w:r>
              <w:rPr>
                <w:rFonts w:ascii="宋体" w:hAnsi="宋体" w:eastAsia="宋体"/>
                <w:sz w:val="16"/>
              </w:rPr>
              <w:t>年</w:t>
            </w:r>
            <w:bookmarkStart w:id="0" w:name="_GoBack"/>
            <w:r>
              <w:rPr>
                <w:rFonts w:hint="eastAsia" w:ascii="宋体" w:hAnsi="宋体"/>
                <w:sz w:val="16"/>
                <w:lang w:eastAsia="zh-CN"/>
              </w:rPr>
              <w:t>鉴</w:t>
            </w:r>
            <w:bookmarkEnd w:id="0"/>
            <w:r>
              <w:rPr>
                <w:rFonts w:ascii="宋体" w:hAnsi="宋体" w:eastAsia="宋体"/>
                <w:sz w:val="16"/>
              </w:rPr>
              <w:t>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9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31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E8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8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6A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9CD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6F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BF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5770">
            <w:pPr>
              <w:jc w:val="center"/>
            </w:pPr>
            <w:r>
              <w:rPr>
                <w:rFonts w:ascii="宋体" w:hAnsi="宋体" w:eastAsia="宋体"/>
                <w:sz w:val="16"/>
              </w:rPr>
              <w:t>原因：目前年鉴已完成印刷工作，尚未发行出版，因此存在偏差；措施：下一年度做好项目管理，提高工作执行进度，减少偏差。</w:t>
            </w:r>
          </w:p>
        </w:tc>
      </w:tr>
      <w:tr w14:paraId="691BF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B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B33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2FD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17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489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2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DA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02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60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AD2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CAA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3E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2122C">
            <w:pPr>
              <w:jc w:val="center"/>
            </w:pPr>
          </w:p>
        </w:tc>
      </w:tr>
      <w:tr w14:paraId="270DAE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70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FF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C0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ADF3">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D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85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2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BD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D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B2A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C8D7">
            <w:pPr>
              <w:jc w:val="center"/>
            </w:pPr>
            <w:r>
              <w:rPr>
                <w:rFonts w:ascii="宋体" w:hAnsi="宋体" w:eastAsia="宋体"/>
                <w:sz w:val="16"/>
              </w:rPr>
              <w:t>=70.7%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6E63">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73002">
            <w:pPr>
              <w:jc w:val="center"/>
            </w:pPr>
            <w:r>
              <w:rPr>
                <w:rFonts w:ascii="宋体" w:hAnsi="宋体" w:eastAsia="宋体"/>
                <w:sz w:val="16"/>
              </w:rPr>
              <w:t>原因：第三方机构未及时提供支出资料，未能按时支出；措施：及时催收支出资料，加快项目支出进度，减少偏差。</w:t>
            </w:r>
          </w:p>
        </w:tc>
      </w:tr>
      <w:tr w14:paraId="2C62D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266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5C22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C031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5275">
            <w:pPr>
              <w:jc w:val="center"/>
            </w:pPr>
            <w:r>
              <w:rPr>
                <w:rFonts w:ascii="宋体" w:hAnsi="宋体" w:eastAsia="宋体"/>
                <w:sz w:val="16"/>
              </w:rPr>
              <w:t>相关业务工作开展成本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5306">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94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5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2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7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1B3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8D1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B460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F2EF9">
            <w:pPr>
              <w:jc w:val="center"/>
            </w:pPr>
            <w:r>
              <w:rPr>
                <w:rFonts w:ascii="宋体" w:hAnsi="宋体" w:eastAsia="宋体"/>
                <w:sz w:val="16"/>
              </w:rPr>
              <w:t>原因：目前年鉴已完成印刷工作，尚未发行出版，因此存在偏差；措施：下一年度做好项目管理，提高工作执行进度，减少偏差。</w:t>
            </w:r>
          </w:p>
        </w:tc>
      </w:tr>
      <w:tr w14:paraId="747847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BB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13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B1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933A">
            <w:pPr>
              <w:jc w:val="center"/>
            </w:pPr>
            <w:r>
              <w:rPr>
                <w:rFonts w:ascii="宋体" w:hAnsi="宋体" w:eastAsia="宋体"/>
                <w:sz w:val="16"/>
              </w:rPr>
              <w:t>年鉴印刷成本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6FB9">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C9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60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2F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F8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F5D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5556">
            <w:pPr>
              <w:jc w:val="center"/>
            </w:pPr>
            <w:r>
              <w:rPr>
                <w:rFonts w:ascii="宋体" w:hAnsi="宋体" w:eastAsia="宋体"/>
                <w:sz w:val="16"/>
              </w:rPr>
              <w:t>=22.6119万元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7439">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A6EA">
            <w:pPr>
              <w:jc w:val="center"/>
            </w:pPr>
            <w:r>
              <w:rPr>
                <w:rFonts w:ascii="宋体" w:hAnsi="宋体" w:eastAsia="宋体"/>
                <w:sz w:val="16"/>
              </w:rPr>
              <w:t>原因：第三方机构未及时提供支出资料，未能按时支出；措施：及时催收支出资料，加快项目支出进度，减少偏差。</w:t>
            </w:r>
          </w:p>
        </w:tc>
      </w:tr>
      <w:tr w14:paraId="2B9DD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4C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B5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C9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8C63">
            <w:pPr>
              <w:jc w:val="center"/>
            </w:pPr>
            <w:r>
              <w:rPr>
                <w:rFonts w:ascii="宋体" w:hAnsi="宋体" w:eastAsia="宋体"/>
                <w:sz w:val="16"/>
              </w:rPr>
              <w:t>年鉴使用率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4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6B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4D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5D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09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6D1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9E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87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D5520">
            <w:pPr>
              <w:jc w:val="center"/>
            </w:pPr>
            <w:r>
              <w:rPr>
                <w:rFonts w:ascii="宋体" w:hAnsi="宋体" w:eastAsia="宋体"/>
                <w:sz w:val="16"/>
              </w:rPr>
              <w:t>原因：目前年鉴已完成印刷工作，尚未发行出版，因此存在偏差；措施：下一年度做好项目管理，提高工作执行进度，减少偏差。</w:t>
            </w:r>
          </w:p>
        </w:tc>
      </w:tr>
      <w:tr w14:paraId="3BF61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B6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4C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FB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8ABD">
            <w:pPr>
              <w:jc w:val="center"/>
            </w:pPr>
            <w:r>
              <w:rPr>
                <w:rFonts w:ascii="宋体" w:hAnsi="宋体" w:eastAsia="宋体"/>
                <w:sz w:val="16"/>
              </w:rPr>
              <w:t>年鉴使用人员满意度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05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A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74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E6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82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598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70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76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C64AA">
            <w:pPr>
              <w:jc w:val="center"/>
            </w:pPr>
            <w:r>
              <w:rPr>
                <w:rFonts w:ascii="宋体" w:hAnsi="宋体" w:eastAsia="宋体"/>
                <w:sz w:val="16"/>
              </w:rPr>
              <w:t>原因：目前年鉴已完成印刷工作，尚未发行出版，因此存在偏差；措施：下一年度做好项目管理，提高工作执行进度，减少偏差。</w:t>
            </w:r>
          </w:p>
        </w:tc>
      </w:tr>
      <w:tr w14:paraId="004673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3D54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DA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A6E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0993">
            <w:pPr>
              <w:jc w:val="center"/>
            </w:pPr>
            <w:r>
              <w:rPr>
                <w:rFonts w:ascii="宋体" w:hAnsi="宋体" w:eastAsia="宋体"/>
                <w:sz w:val="16"/>
              </w:rPr>
              <w:t>20.55分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6C8755"/>
        </w:tc>
      </w:tr>
    </w:tbl>
    <w:p w14:paraId="48D741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289EEEA">
        <w:tblPrEx>
          <w:tblCellMar>
            <w:top w:w="0" w:type="dxa"/>
            <w:left w:w="108" w:type="dxa"/>
            <w:bottom w:w="0" w:type="dxa"/>
            <w:right w:w="108" w:type="dxa"/>
          </w:tblCellMar>
        </w:tblPrEx>
        <w:tc>
          <w:tcPr>
            <w:tcW w:w="8848" w:type="dxa"/>
            <w:gridSpan w:val="14"/>
            <w:vAlign w:val="center"/>
          </w:tcPr>
          <w:p w14:paraId="49DA0F1D">
            <w:pPr>
              <w:jc w:val="center"/>
            </w:pPr>
            <w:r>
              <w:rPr>
                <w:rFonts w:ascii="宋体" w:hAnsi="宋体" w:eastAsia="宋体"/>
                <w:sz w:val="24"/>
              </w:rPr>
              <w:t>项目支出绩效自评表</w:t>
            </w:r>
          </w:p>
        </w:tc>
      </w:tr>
      <w:tr w14:paraId="229A82A0">
        <w:tblPrEx>
          <w:tblCellMar>
            <w:top w:w="0" w:type="dxa"/>
            <w:left w:w="108" w:type="dxa"/>
            <w:bottom w:w="0" w:type="dxa"/>
            <w:right w:w="108" w:type="dxa"/>
          </w:tblCellMar>
        </w:tblPrEx>
        <w:tc>
          <w:tcPr>
            <w:tcW w:w="8848" w:type="dxa"/>
            <w:gridSpan w:val="14"/>
            <w:vAlign w:val="center"/>
          </w:tcPr>
          <w:p w14:paraId="0989F2F0">
            <w:pPr>
              <w:jc w:val="center"/>
            </w:pPr>
            <w:r>
              <w:rPr>
                <w:rFonts w:ascii="宋体" w:hAnsi="宋体" w:eastAsia="宋体"/>
                <w:sz w:val="24"/>
              </w:rPr>
              <w:t>(2024年度)</w:t>
            </w:r>
          </w:p>
        </w:tc>
      </w:tr>
      <w:tr w14:paraId="5E52CC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A4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694D16">
            <w:pPr>
              <w:jc w:val="center"/>
            </w:pPr>
            <w:r>
              <w:rPr>
                <w:rFonts w:ascii="宋体" w:hAnsi="宋体" w:eastAsia="宋体"/>
                <w:sz w:val="16"/>
              </w:rPr>
              <w:t>《阿图什市扶贫志》编纂经费项目</w:t>
            </w:r>
          </w:p>
        </w:tc>
      </w:tr>
      <w:tr w14:paraId="48C657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41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CA59C">
            <w:pPr>
              <w:jc w:val="center"/>
            </w:pPr>
            <w:r>
              <w:rPr>
                <w:rFonts w:ascii="宋体" w:hAnsi="宋体" w:eastAsia="宋体"/>
                <w:sz w:val="16"/>
              </w:rPr>
              <w:t>阿图什市地方志编纂委员会办公室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E7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406ED5">
            <w:pPr>
              <w:jc w:val="center"/>
            </w:pPr>
            <w:r>
              <w:rPr>
                <w:rFonts w:ascii="宋体" w:hAnsi="宋体" w:eastAsia="宋体"/>
                <w:sz w:val="16"/>
              </w:rPr>
              <w:t>阿图什市地方志编纂委员会办公室</w:t>
            </w:r>
          </w:p>
        </w:tc>
      </w:tr>
      <w:tr w14:paraId="2196C0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7A1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CF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4C5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F6D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BCF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175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7E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211B">
            <w:pPr>
              <w:jc w:val="center"/>
            </w:pPr>
            <w:r>
              <w:rPr>
                <w:rFonts w:ascii="宋体" w:hAnsi="宋体" w:eastAsia="宋体"/>
                <w:sz w:val="16"/>
              </w:rPr>
              <w:t>得分</w:t>
            </w:r>
          </w:p>
        </w:tc>
      </w:tr>
      <w:tr w14:paraId="38599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7A7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24B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216D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C1C3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AD7DA">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4BA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AD451">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8348">
            <w:pPr>
              <w:jc w:val="center"/>
            </w:pPr>
            <w:r>
              <w:rPr>
                <w:rFonts w:ascii="宋体" w:hAnsi="宋体" w:eastAsia="宋体"/>
                <w:sz w:val="16"/>
              </w:rPr>
              <w:t>0.00分</w:t>
            </w:r>
          </w:p>
        </w:tc>
      </w:tr>
      <w:tr w14:paraId="1A278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3F2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494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FE97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26AB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322B">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68C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0F5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23FD">
            <w:pPr>
              <w:jc w:val="center"/>
            </w:pPr>
            <w:r>
              <w:rPr>
                <w:rFonts w:ascii="宋体" w:hAnsi="宋体" w:eastAsia="宋体"/>
                <w:sz w:val="16"/>
              </w:rPr>
              <w:t>—</w:t>
            </w:r>
          </w:p>
        </w:tc>
      </w:tr>
      <w:tr w14:paraId="67D43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B3F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472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6AA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70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372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763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A90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BFAA">
            <w:pPr>
              <w:jc w:val="center"/>
            </w:pPr>
            <w:r>
              <w:rPr>
                <w:rFonts w:ascii="宋体" w:hAnsi="宋体" w:eastAsia="宋体"/>
                <w:sz w:val="16"/>
              </w:rPr>
              <w:t>—</w:t>
            </w:r>
          </w:p>
        </w:tc>
      </w:tr>
      <w:tr w14:paraId="0FC3B5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323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CEB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42F29">
            <w:pPr>
              <w:jc w:val="center"/>
            </w:pPr>
            <w:r>
              <w:rPr>
                <w:rFonts w:ascii="宋体" w:hAnsi="宋体" w:eastAsia="宋体"/>
                <w:sz w:val="16"/>
              </w:rPr>
              <w:t>实际完成情况</w:t>
            </w:r>
          </w:p>
        </w:tc>
      </w:tr>
      <w:tr w14:paraId="52130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372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52B98">
            <w:pPr>
              <w:jc w:val="both"/>
            </w:pPr>
            <w:r>
              <w:rPr>
                <w:rFonts w:ascii="宋体" w:hAnsi="宋体" w:eastAsia="宋体"/>
                <w:sz w:val="16"/>
              </w:rPr>
              <w:t>根据中国地方志指导小组《关于实施中国扶贫志编纂工程和中国全面小康志工程的若干意见》，自治区地方志编纂委员会《关于落实&lt;关于实施中国扶贫志编纂工程和中国全面小康志编纂工程的若干意见&gt;的实施方案》精神，项目总投资20万元，用于《阿图什市扶贫志》编纂的前期准备工作，采购办公用品及办公设备，通过实施为全面、翔实记述1949年新中国成立以来自治州扶贫开发、脱贫攻坚取得全面胜利，总结在脱贫攻坚伟大事业中创新创造的历史智慧，充分发挥地方志存史、资治、教化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713181">
            <w:pPr>
              <w:jc w:val="both"/>
            </w:pPr>
            <w:r>
              <w:rPr>
                <w:rFonts w:ascii="宋体" w:hAnsi="宋体" w:eastAsia="宋体"/>
                <w:sz w:val="16"/>
              </w:rPr>
              <w:t>本项目共计支出0.3301万元，用于采购办公用品及办公设备1批；通过实施本项目为全面、翔实记述1949年新中国成立以来自治州扶贫开发、脱贫攻坚取得全面胜利，总结在脱贫攻坚伟大事业中创新创造的历史智慧，充分发挥地方志存史、资治、教化的作用。</w:t>
            </w:r>
          </w:p>
        </w:tc>
      </w:tr>
      <w:tr w14:paraId="5135F3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1D4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04B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7D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0D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CB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8C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9F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204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A0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3F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E9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46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36A1">
            <w:pPr>
              <w:jc w:val="center"/>
            </w:pPr>
            <w:r>
              <w:rPr>
                <w:rFonts w:ascii="宋体" w:hAnsi="宋体" w:eastAsia="宋体"/>
                <w:sz w:val="16"/>
              </w:rPr>
              <w:t>偏差原因分析及改进措施</w:t>
            </w:r>
          </w:p>
        </w:tc>
      </w:tr>
      <w:tr w14:paraId="73D8E0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773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A8A7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EB1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6E79">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8C09">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E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B7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1B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16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4DE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AF3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C4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6462D">
            <w:pPr>
              <w:jc w:val="center"/>
            </w:pPr>
            <w:r>
              <w:rPr>
                <w:rFonts w:ascii="宋体" w:hAnsi="宋体" w:eastAsia="宋体"/>
                <w:sz w:val="16"/>
              </w:rPr>
              <w:t>原因：根据实际情况进行采购，因此指标完成情况存在偏差；措施：下一年度做好项目管理，提高工作执行进度，减少偏差。</w:t>
            </w:r>
          </w:p>
        </w:tc>
      </w:tr>
      <w:tr w14:paraId="1F2CF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B2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AD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3C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633A">
            <w:pPr>
              <w:jc w:val="center"/>
            </w:pPr>
            <w:r>
              <w:rPr>
                <w:rFonts w:ascii="宋体" w:hAnsi="宋体" w:eastAsia="宋体"/>
                <w:sz w:val="16"/>
              </w:rPr>
              <w:t>聘用专家人员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93A0">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7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D8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98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7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90D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0EEA">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D8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E904">
            <w:pPr>
              <w:jc w:val="center"/>
            </w:pPr>
            <w:r>
              <w:rPr>
                <w:rFonts w:ascii="宋体" w:hAnsi="宋体" w:eastAsia="宋体"/>
                <w:sz w:val="16"/>
              </w:rPr>
              <w:t>原因：因特殊原因，该项目未完成。措施：下一年度提前做好项目计划，保证项目顺利开展。</w:t>
            </w:r>
          </w:p>
        </w:tc>
      </w:tr>
      <w:tr w14:paraId="5BDDA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B9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BA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3F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B7AF">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8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3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A0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E1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D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5B6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729C">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32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FC67C">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63063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FC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E5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84B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FED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5FC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A7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66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41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C7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C69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837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B4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19A57">
            <w:pPr>
              <w:jc w:val="center"/>
            </w:pPr>
          </w:p>
        </w:tc>
      </w:tr>
      <w:tr w14:paraId="4408A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5F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29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A3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E4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A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5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D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0B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37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8CE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FC06">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BF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D6A3C">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104F9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0A3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B0B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052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D302">
            <w:pPr>
              <w:jc w:val="center"/>
            </w:pPr>
            <w:r>
              <w:rPr>
                <w:rFonts w:ascii="宋体" w:hAnsi="宋体" w:eastAsia="宋体"/>
                <w:sz w:val="16"/>
              </w:rPr>
              <w:t>采购办公用品费用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8A6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9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22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0C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6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192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E589">
            <w:pPr>
              <w:jc w:val="center"/>
            </w:pPr>
            <w:r>
              <w:rPr>
                <w:rFonts w:ascii="宋体" w:hAnsi="宋体" w:eastAsia="宋体"/>
                <w:sz w:val="16"/>
              </w:rPr>
              <w:t>=0.3301万元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16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4BB5">
            <w:pPr>
              <w:jc w:val="center"/>
            </w:pPr>
            <w:r>
              <w:rPr>
                <w:rFonts w:ascii="宋体" w:hAnsi="宋体" w:eastAsia="宋体"/>
                <w:sz w:val="16"/>
              </w:rPr>
              <w:t>原因：第三方机构未及时提供支出资料，未能按时支出；措施：及时催收支出资料，加快项目支出进度，减少偏差。</w:t>
            </w:r>
          </w:p>
        </w:tc>
      </w:tr>
      <w:tr w14:paraId="21E44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3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77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78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04FD">
            <w:pPr>
              <w:jc w:val="center"/>
            </w:pPr>
            <w:r>
              <w:rPr>
                <w:rFonts w:ascii="宋体" w:hAnsi="宋体" w:eastAsia="宋体"/>
                <w:sz w:val="16"/>
              </w:rPr>
              <w:t>聘请专家人员补贴标准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32D5">
            <w:pPr>
              <w:jc w:val="center"/>
            </w:pPr>
            <w:r>
              <w:rPr>
                <w:rFonts w:ascii="宋体" w:hAnsi="宋体" w:eastAsia="宋体"/>
                <w:sz w:val="16"/>
              </w:rPr>
              <w:t>&lt;=5万元/人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8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B6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6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6B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FC6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B4C2">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CE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A7C23">
            <w:pPr>
              <w:jc w:val="center"/>
            </w:pPr>
            <w:r>
              <w:rPr>
                <w:rFonts w:ascii="宋体" w:hAnsi="宋体" w:eastAsia="宋体"/>
                <w:sz w:val="16"/>
              </w:rPr>
              <w:t>原因：因特殊原因，该项目未完成。措施：下一年度提前做好项目计划，保证项目顺利开展。</w:t>
            </w:r>
          </w:p>
        </w:tc>
      </w:tr>
      <w:tr w14:paraId="0967F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20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4F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40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43A0">
            <w:pPr>
              <w:jc w:val="center"/>
            </w:pPr>
            <w:r>
              <w:rPr>
                <w:rFonts w:ascii="宋体" w:hAnsi="宋体" w:eastAsia="宋体"/>
                <w:sz w:val="16"/>
              </w:rPr>
              <w:t>保障工作正常进行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56D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2A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1C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B4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2C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5E3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7480">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5549">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905C">
            <w:pPr>
              <w:jc w:val="center"/>
            </w:pPr>
            <w:r>
              <w:rPr>
                <w:rFonts w:ascii="宋体" w:hAnsi="宋体" w:eastAsia="宋体"/>
                <w:sz w:val="16"/>
              </w:rPr>
              <w:t>原因：因特殊原因，该项目未完成。措施：下一年度提前做好项目计划，保证项目顺利开展。</w:t>
            </w:r>
          </w:p>
        </w:tc>
      </w:tr>
      <w:tr w14:paraId="4EF80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045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A8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07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CE6C">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ED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9E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47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8F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F5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DBC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A3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96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50FA">
            <w:pPr>
              <w:jc w:val="center"/>
            </w:pPr>
          </w:p>
        </w:tc>
      </w:tr>
      <w:tr w14:paraId="76EF71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86AE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86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7F4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84EA">
            <w:pPr>
              <w:jc w:val="center"/>
            </w:pPr>
            <w:r>
              <w:rPr>
                <w:rFonts w:ascii="宋体" w:hAnsi="宋体" w:eastAsia="宋体"/>
                <w:sz w:val="16"/>
              </w:rPr>
              <w:t>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CCEB38"/>
        </w:tc>
      </w:tr>
    </w:tbl>
    <w:p w14:paraId="3600D0A1">
      <w:r>
        <w:br w:type="page"/>
      </w:r>
    </w:p>
    <w:p w14:paraId="2F72A11A">
      <w:pPr>
        <w:spacing w:line="640" w:lineRule="exact"/>
        <w:ind w:firstLine="640"/>
        <w:jc w:val="both"/>
        <w:outlineLvl w:val="2"/>
      </w:pPr>
      <w:r>
        <w:rPr>
          <w:rFonts w:ascii="黑体" w:hAnsi="黑体" w:eastAsia="黑体"/>
          <w:sz w:val="32"/>
        </w:rPr>
        <w:t>十二、其他需说明的事项</w:t>
      </w:r>
    </w:p>
    <w:p w14:paraId="434446B3">
      <w:pPr>
        <w:spacing w:line="580" w:lineRule="exact"/>
        <w:ind w:firstLine="640"/>
        <w:jc w:val="both"/>
      </w:pPr>
      <w:r>
        <w:rPr>
          <w:rFonts w:ascii="仿宋_GB2312" w:hAnsi="仿宋_GB2312" w:eastAsia="仿宋_GB2312"/>
          <w:b w:val="0"/>
          <w:sz w:val="32"/>
        </w:rPr>
        <w:t>本单位无其他需说明的事项。</w:t>
      </w:r>
    </w:p>
    <w:p w14:paraId="73A3F8EE">
      <w:r>
        <w:br w:type="page"/>
      </w:r>
    </w:p>
    <w:p w14:paraId="0FC8B368">
      <w:pPr>
        <w:spacing w:line="240" w:lineRule="auto"/>
        <w:jc w:val="center"/>
        <w:outlineLvl w:val="1"/>
      </w:pPr>
      <w:r>
        <w:rPr>
          <w:rFonts w:ascii="黑体" w:hAnsi="黑体" w:eastAsia="黑体"/>
          <w:sz w:val="32"/>
        </w:rPr>
        <w:t>第三部分 专业名词解释</w:t>
      </w:r>
    </w:p>
    <w:p w14:paraId="0EB5EC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DDF37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A966D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2E3E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D47BA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39F3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B7A7F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4956C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721BC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0741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FDA2D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98481F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6D1E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C974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09F102">
      <w:r>
        <w:br w:type="page"/>
      </w:r>
    </w:p>
    <w:p w14:paraId="7B6E0251">
      <w:pPr>
        <w:spacing w:line="240" w:lineRule="auto"/>
        <w:jc w:val="center"/>
        <w:outlineLvl w:val="1"/>
      </w:pPr>
      <w:r>
        <w:rPr>
          <w:rFonts w:ascii="黑体" w:hAnsi="黑体" w:eastAsia="黑体"/>
          <w:sz w:val="32"/>
        </w:rPr>
        <w:t>第四部分 部门决算报表（见附表）</w:t>
      </w:r>
    </w:p>
    <w:p w14:paraId="7F3E9210">
      <w:pPr>
        <w:spacing w:line="240" w:lineRule="auto"/>
        <w:ind w:firstLine="640"/>
        <w:jc w:val="both"/>
      </w:pPr>
      <w:r>
        <w:rPr>
          <w:rFonts w:ascii="仿宋_GB2312" w:hAnsi="仿宋_GB2312" w:eastAsia="仿宋_GB2312"/>
          <w:b w:val="0"/>
          <w:sz w:val="32"/>
        </w:rPr>
        <w:t>一、《收入支出决算总表》</w:t>
      </w:r>
    </w:p>
    <w:p w14:paraId="78085BFF">
      <w:pPr>
        <w:spacing w:line="240" w:lineRule="auto"/>
        <w:ind w:firstLine="640"/>
        <w:jc w:val="both"/>
      </w:pPr>
      <w:r>
        <w:rPr>
          <w:rFonts w:ascii="仿宋_GB2312" w:hAnsi="仿宋_GB2312" w:eastAsia="仿宋_GB2312"/>
          <w:b w:val="0"/>
          <w:sz w:val="32"/>
        </w:rPr>
        <w:t>二、《收入决算表》</w:t>
      </w:r>
    </w:p>
    <w:p w14:paraId="4E5EC83E">
      <w:pPr>
        <w:spacing w:line="240" w:lineRule="auto"/>
        <w:ind w:firstLine="640"/>
        <w:jc w:val="both"/>
      </w:pPr>
      <w:r>
        <w:rPr>
          <w:rFonts w:ascii="仿宋_GB2312" w:hAnsi="仿宋_GB2312" w:eastAsia="仿宋_GB2312"/>
          <w:b w:val="0"/>
          <w:sz w:val="32"/>
        </w:rPr>
        <w:t>三、《支出决算表》</w:t>
      </w:r>
    </w:p>
    <w:p w14:paraId="32336F75">
      <w:pPr>
        <w:spacing w:line="240" w:lineRule="auto"/>
        <w:ind w:firstLine="640"/>
        <w:jc w:val="both"/>
      </w:pPr>
      <w:r>
        <w:rPr>
          <w:rFonts w:ascii="仿宋_GB2312" w:hAnsi="仿宋_GB2312" w:eastAsia="仿宋_GB2312"/>
          <w:b w:val="0"/>
          <w:sz w:val="32"/>
        </w:rPr>
        <w:t>四、《财政拨款收入支出决算总表》</w:t>
      </w:r>
    </w:p>
    <w:p w14:paraId="477F6A53">
      <w:pPr>
        <w:spacing w:line="240" w:lineRule="auto"/>
        <w:ind w:firstLine="640"/>
        <w:jc w:val="both"/>
      </w:pPr>
      <w:r>
        <w:rPr>
          <w:rFonts w:ascii="仿宋_GB2312" w:hAnsi="仿宋_GB2312" w:eastAsia="仿宋_GB2312"/>
          <w:b w:val="0"/>
          <w:sz w:val="32"/>
        </w:rPr>
        <w:t>五、《一般公共预算财政拨款支出决算表》</w:t>
      </w:r>
    </w:p>
    <w:p w14:paraId="168E8F2B">
      <w:pPr>
        <w:spacing w:line="240" w:lineRule="auto"/>
        <w:ind w:firstLine="640"/>
        <w:jc w:val="both"/>
      </w:pPr>
      <w:r>
        <w:rPr>
          <w:rFonts w:ascii="仿宋_GB2312" w:hAnsi="仿宋_GB2312" w:eastAsia="仿宋_GB2312"/>
          <w:b w:val="0"/>
          <w:sz w:val="32"/>
        </w:rPr>
        <w:t>六、《一般公共预算财政拨款基本支出决算表》</w:t>
      </w:r>
    </w:p>
    <w:p w14:paraId="414B784B">
      <w:pPr>
        <w:spacing w:line="240" w:lineRule="auto"/>
        <w:ind w:firstLine="640"/>
        <w:jc w:val="both"/>
      </w:pPr>
      <w:r>
        <w:rPr>
          <w:rFonts w:ascii="仿宋_GB2312" w:hAnsi="仿宋_GB2312" w:eastAsia="仿宋_GB2312"/>
          <w:b w:val="0"/>
          <w:sz w:val="32"/>
        </w:rPr>
        <w:t>七、《政府性基金预算财政拨款收入支出决算表》</w:t>
      </w:r>
    </w:p>
    <w:p w14:paraId="0D79BE60">
      <w:pPr>
        <w:spacing w:line="240" w:lineRule="auto"/>
        <w:ind w:firstLine="640"/>
        <w:jc w:val="both"/>
      </w:pPr>
      <w:r>
        <w:rPr>
          <w:rFonts w:ascii="仿宋_GB2312" w:hAnsi="仿宋_GB2312" w:eastAsia="仿宋_GB2312"/>
          <w:b w:val="0"/>
          <w:sz w:val="32"/>
        </w:rPr>
        <w:t>八、《国有资本经营预算财政拨款收入支出决算表》</w:t>
      </w:r>
    </w:p>
    <w:p w14:paraId="5C9845EA">
      <w:pPr>
        <w:spacing w:line="240" w:lineRule="auto"/>
        <w:ind w:firstLine="640"/>
        <w:jc w:val="both"/>
      </w:pPr>
      <w:r>
        <w:rPr>
          <w:rFonts w:ascii="仿宋_GB2312" w:hAnsi="仿宋_GB2312" w:eastAsia="仿宋_GB2312"/>
          <w:b w:val="0"/>
          <w:sz w:val="32"/>
        </w:rPr>
        <w:t>九、《财政拨款“三公”经费支出决算表》</w:t>
      </w:r>
    </w:p>
    <w:p w14:paraId="4F97E68A">
      <w:pPr>
        <w:spacing w:line="240" w:lineRule="auto"/>
        <w:ind w:firstLine="640"/>
        <w:jc w:val="both"/>
      </w:pPr>
    </w:p>
    <w:p w14:paraId="5C968992">
      <w:pPr>
        <w:spacing w:line="240" w:lineRule="auto"/>
        <w:ind w:firstLine="640"/>
        <w:jc w:val="both"/>
      </w:pPr>
    </w:p>
    <w:p w14:paraId="6AEE6041">
      <w:pPr>
        <w:spacing w:line="240" w:lineRule="auto"/>
        <w:ind w:firstLine="640"/>
        <w:jc w:val="both"/>
      </w:pPr>
    </w:p>
    <w:p w14:paraId="513DA98B">
      <w:pPr>
        <w:spacing w:line="240" w:lineRule="auto"/>
        <w:ind w:firstLine="640"/>
        <w:jc w:val="both"/>
      </w:pPr>
    </w:p>
    <w:p w14:paraId="37B2F00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A0D8BA-D33A-4FC5-83F4-81B0304876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C0B507D-B2C5-4918-B793-E32B9348C598}"/>
  </w:font>
  <w:font w:name="仿宋_GB2312">
    <w:panose1 w:val="02010609030101010101"/>
    <w:charset w:val="86"/>
    <w:family w:val="modern"/>
    <w:pitch w:val="default"/>
    <w:sig w:usb0="00000001" w:usb1="080E0000" w:usb2="00000000" w:usb3="00000000" w:csb0="00040000" w:csb1="00000000"/>
    <w:embedRegular r:id="rId3" w:fontKey="{295EB546-CA8A-4328-8FC1-C788AF1229C5}"/>
  </w:font>
  <w:font w:name="楷体_GB2312">
    <w:panose1 w:val="02010609030101010101"/>
    <w:charset w:val="86"/>
    <w:family w:val="auto"/>
    <w:pitch w:val="default"/>
    <w:sig w:usb0="00000001" w:usb1="080E0000" w:usb2="00000000" w:usb3="00000000" w:csb0="00040000" w:csb1="00000000"/>
    <w:embedRegular r:id="rId4" w:fontKey="{C5E8D2EE-E940-4573-B258-694CF11B1BB6}"/>
  </w:font>
  <w:font w:name="WPSEMBED144">
    <w:panose1 w:val="02010609030101010101"/>
    <w:charset w:val="86"/>
    <w:family w:val="auto"/>
    <w:pitch w:val="default"/>
    <w:sig w:usb0="00000001" w:usb1="080E0000" w:usb2="00000000" w:usb3="00000000" w:csb0="00040000" w:csb1="00000000"/>
  </w:font>
  <w:font w:name="WPSEMBED145">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4675E4"/>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88181C"/>
    <w:rsid w:val="65D97752"/>
    <w:rsid w:val="664C500C"/>
    <w:rsid w:val="67D111AB"/>
    <w:rsid w:val="68DB0208"/>
    <w:rsid w:val="68DF36D5"/>
    <w:rsid w:val="69846A0E"/>
    <w:rsid w:val="69AD798C"/>
    <w:rsid w:val="6B68175F"/>
    <w:rsid w:val="6B8B5C99"/>
    <w:rsid w:val="6CA7198F"/>
    <w:rsid w:val="6D8919A8"/>
    <w:rsid w:val="6E0F7A08"/>
    <w:rsid w:val="6E801ABC"/>
    <w:rsid w:val="6F6F3AF8"/>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5180</Words>
  <Characters>5960</Characters>
  <Lines>0</Lines>
  <Paragraphs>0</Paragraphs>
  <TotalTime>4</TotalTime>
  <ScaleCrop>false</ScaleCrop>
  <LinksUpToDate>false</LinksUpToDate>
  <CharactersWithSpaces>5968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2025-09-08T08:56:52Z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