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《阿图什市年鉴2023》《阿图什市年鉴2024》出版印刷经费项目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项目名称：</w:t>
      </w:r>
      <w:r>
        <w:rPr>
          <w:rFonts w:hint="eastAsia" w:ascii="黑体" w:hAnsi="黑体" w:eastAsia="黑体" w:cs="仿宋_GB2312"/>
          <w:color w:val="auto"/>
          <w:kern w:val="0"/>
          <w:sz w:val="32"/>
          <w:szCs w:val="32"/>
          <w:highlight w:val="none"/>
          <w:lang w:eastAsia="zh-CN"/>
        </w:rPr>
        <w:t>《阿图什市年鉴2023》《阿图什市年鉴2024》出版印刷经费项目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项目单位：</w:t>
      </w:r>
      <w:r>
        <w:rPr>
          <w:rFonts w:hint="eastAsia" w:ascii="黑体" w:hAnsi="黑体" w:eastAsia="黑体" w:cs="仿宋_GB2312"/>
          <w:color w:val="auto"/>
          <w:kern w:val="0"/>
          <w:sz w:val="32"/>
          <w:szCs w:val="32"/>
          <w:highlight w:val="none"/>
          <w:lang w:eastAsia="zh-CN"/>
        </w:rPr>
        <w:t>阿图什市地方志编纂委员会办公室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lang w:eastAsia="zh-CN"/>
        </w:rPr>
      </w:pPr>
      <w:r>
        <w:rPr>
          <w:rFonts w:hint="eastAsia" w:ascii="黑体" w:hAnsi="黑体" w:eastAsia="黑体" w:cs="仿宋_GB2312"/>
          <w:color w:val="auto"/>
          <w:kern w:val="0"/>
          <w:sz w:val="32"/>
          <w:szCs w:val="32"/>
          <w:highlight w:val="none"/>
        </w:rPr>
        <w:t>主管部门：</w:t>
      </w:r>
      <w:r>
        <w:rPr>
          <w:rFonts w:hint="eastAsia" w:ascii="黑体" w:hAnsi="黑体" w:eastAsia="黑体" w:cs="仿宋_GB2312"/>
          <w:color w:val="auto"/>
          <w:kern w:val="0"/>
          <w:sz w:val="32"/>
          <w:szCs w:val="32"/>
          <w:highlight w:val="none"/>
          <w:lang w:eastAsia="zh-CN"/>
        </w:rPr>
        <w:t>阿图什市地方志编纂委员会办公室</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10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《阿图什市年鉴2023》《阿图什市年鉴2024》出版印刷经费项目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根据自治区地方志事业“十四五”发展规划、自治州“十四五”规划及地方事业行业发展需要，按自治区年鉴编撰工作要求，结合本单位地方志编撰工作职责，按照年度工作计划，开展年鉴经费项目。</w:t>
      </w:r>
    </w:p>
    <w:p>
      <w:pPr>
        <w:snapToGrid w:val="0"/>
        <w:spacing w:line="560" w:lineRule="exact"/>
        <w:ind w:firstLine="800" w:firstLineChars="250"/>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本项目立项依据为:《新疆维吾尔自治区地方志事业“十四五”发展规划》《克孜勒苏柯尔克孜自治州地方志事业“十四五”发展规划》等</w:t>
      </w:r>
      <w:r>
        <w:rPr>
          <w:rFonts w:hint="eastAsia" w:ascii="仿宋_GB2312" w:hAnsi="仿宋" w:cs="宋体"/>
          <w:color w:val="auto"/>
          <w:sz w:val="32"/>
          <w:szCs w:val="32"/>
          <w:highlight w:val="none"/>
          <w:lang w:eastAsia="zh-CN"/>
        </w:rPr>
        <w:t>。</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本项目总投资32万元，主要</w:t>
      </w:r>
      <w:r>
        <w:rPr>
          <w:rFonts w:hint="eastAsia" w:ascii="仿宋_GB2312" w:hAnsi="仿宋_GB2312" w:cs="仿宋_GB2312"/>
          <w:color w:val="auto"/>
          <w:sz w:val="32"/>
          <w:szCs w:val="30"/>
          <w:highlight w:val="none"/>
          <w:lang w:eastAsia="zh-CN"/>
        </w:rPr>
        <w:t>用于</w:t>
      </w:r>
      <w:r>
        <w:rPr>
          <w:rFonts w:hint="eastAsia" w:ascii="仿宋_GB2312" w:hAnsi="仿宋_GB2312" w:cs="仿宋_GB2312"/>
          <w:color w:val="auto"/>
          <w:sz w:val="32"/>
          <w:szCs w:val="30"/>
          <w:highlight w:val="none"/>
        </w:rPr>
        <w:t>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w:t>
      </w:r>
      <w:r>
        <w:rPr>
          <w:rFonts w:hint="eastAsia" w:ascii="仿宋_GB2312" w:hAnsi="仿宋_GB2312" w:cs="仿宋_GB2312"/>
          <w:bCs/>
          <w:color w:val="auto"/>
          <w:sz w:val="32"/>
          <w:szCs w:val="30"/>
          <w:highlight w:val="none"/>
          <w:lang w:eastAsia="zh-CN"/>
        </w:rPr>
        <w:t>阿图什市地方志编纂委员会办公室</w:t>
      </w:r>
      <w:r>
        <w:rPr>
          <w:rFonts w:hint="eastAsia" w:ascii="仿宋_GB2312" w:hAnsi="仿宋_GB2312" w:cs="仿宋_GB2312"/>
          <w:bCs/>
          <w:color w:val="auto"/>
          <w:sz w:val="32"/>
          <w:szCs w:val="30"/>
          <w:highlight w:val="none"/>
        </w:rPr>
        <w:t>,实施单位为</w:t>
      </w:r>
      <w:r>
        <w:rPr>
          <w:rFonts w:hint="eastAsia" w:ascii="仿宋_GB2312" w:hAnsi="仿宋_GB2312" w:cs="仿宋_GB2312"/>
          <w:bCs/>
          <w:color w:val="auto"/>
          <w:sz w:val="32"/>
          <w:szCs w:val="30"/>
          <w:highlight w:val="none"/>
          <w:lang w:eastAsia="zh-CN"/>
        </w:rPr>
        <w:t>阿图什市地方志编纂委员会办公室</w:t>
      </w:r>
      <w:r>
        <w:rPr>
          <w:rFonts w:hint="eastAsia" w:ascii="仿宋_GB2312" w:hAnsi="仿宋_GB2312" w:cs="仿宋_GB2312"/>
          <w:bCs/>
          <w:color w:val="auto"/>
          <w:sz w:val="32"/>
          <w:szCs w:val="30"/>
          <w:highlight w:val="none"/>
        </w:rPr>
        <w:t>，主要职责项目实施过程中严格按照实施方案进行实施并及时进行监督管理，项目实施后进行及时验收及后期管理。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共计支出22.6119万元，用于印刷《阿图什市年鉴（2023）》500册、《阿图什市年鉴（2024）》500册；通过实施本项目有利于全面、详实、客观地反映我市政治、经济、文化等各个领域取得的重大成就及新的变化，通过该项目实施达到对史志文化资源进行挖掘、开发、保护和利用，做好“存史、资政、教化、育人”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w:t>
      </w:r>
      <w:r>
        <w:rPr>
          <w:rFonts w:hint="eastAsia" w:ascii="仿宋_GB2312" w:hAnsi="仿宋_GB2312" w:cs="仿宋_GB2312"/>
          <w:bCs/>
          <w:color w:val="auto"/>
          <w:sz w:val="32"/>
          <w:szCs w:val="30"/>
          <w:highlight w:val="none"/>
          <w:lang w:val="en-US" w:eastAsia="zh-CN"/>
        </w:rPr>
        <w:t>.</w:t>
      </w:r>
      <w:r>
        <w:rPr>
          <w:rFonts w:hint="eastAsia" w:ascii="仿宋_GB2312" w:hAnsi="仿宋_GB2312" w:cs="仿宋_GB2312"/>
          <w:bCs/>
          <w:color w:val="auto"/>
          <w:sz w:val="32"/>
          <w:szCs w:val="30"/>
          <w:highlight w:val="none"/>
        </w:rPr>
        <w:t>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32万元</w:t>
      </w:r>
      <w:r>
        <w:rPr>
          <w:rStyle w:val="11"/>
          <w:rFonts w:hint="eastAsia" w:ascii="仿宋_GB2312" w:hAnsi="仿宋_GB2312" w:cs="仿宋_GB2312"/>
          <w:b w:val="0"/>
          <w:bCs w:val="0"/>
          <w:color w:val="auto"/>
          <w:spacing w:val="-4"/>
          <w:sz w:val="32"/>
          <w:szCs w:val="30"/>
          <w:highlight w:val="none"/>
        </w:rPr>
        <w:t>，资金来源为本级部门预算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eastAsia="zh-CN"/>
        </w:rPr>
        <w:t>22.61万元</w:t>
      </w:r>
      <w:r>
        <w:rPr>
          <w:rStyle w:val="11"/>
          <w:rFonts w:hint="eastAsia" w:ascii="仿宋_GB2312" w:hAnsi="仿宋_GB2312" w:cs="仿宋_GB2312"/>
          <w:b w:val="0"/>
          <w:color w:val="auto"/>
          <w:spacing w:val="-4"/>
          <w:sz w:val="32"/>
          <w:szCs w:val="30"/>
          <w:highlight w:val="none"/>
        </w:rPr>
        <w:t>，资金执行率达到</w:t>
      </w:r>
      <w:r>
        <w:rPr>
          <w:rStyle w:val="11"/>
          <w:rFonts w:hint="eastAsia" w:ascii="仿宋_GB2312" w:hAnsi="仿宋_GB2312" w:cs="仿宋_GB2312"/>
          <w:b w:val="0"/>
          <w:color w:val="auto"/>
          <w:spacing w:val="-4"/>
          <w:sz w:val="32"/>
          <w:szCs w:val="30"/>
          <w:highlight w:val="none"/>
          <w:lang w:val="en-US" w:eastAsia="zh-CN"/>
        </w:rPr>
        <w:t>70.70%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年鉴相关业务工作开展成本</w:t>
      </w:r>
      <w:r>
        <w:rPr>
          <w:rStyle w:val="11"/>
          <w:rFonts w:hint="eastAsia" w:ascii="仿宋_GB2312"/>
          <w:b w:val="0"/>
          <w:color w:val="auto"/>
          <w:spacing w:val="-4"/>
          <w:sz w:val="32"/>
          <w:highlight w:val="none"/>
          <w:lang w:val="en-US" w:eastAsia="zh-CN"/>
        </w:rPr>
        <w:t>0</w:t>
      </w:r>
      <w:r>
        <w:rPr>
          <w:rStyle w:val="11"/>
          <w:rFonts w:hint="eastAsia" w:ascii="仿宋_GB2312"/>
          <w:b w:val="0"/>
          <w:color w:val="auto"/>
          <w:spacing w:val="-4"/>
          <w:sz w:val="32"/>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年鉴印刷成本22.6119万元。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年度总体目标为：本项目总投资32万元，主要</w:t>
      </w:r>
      <w:r>
        <w:rPr>
          <w:rFonts w:hint="eastAsia" w:ascii="仿宋_GB2312" w:hAnsi="仿宋_GB2312" w:cs="仿宋_GB2312"/>
          <w:color w:val="auto"/>
          <w:sz w:val="32"/>
          <w:highlight w:val="none"/>
          <w:lang w:eastAsia="zh-CN"/>
        </w:rPr>
        <w:t>用于</w:t>
      </w:r>
      <w:r>
        <w:rPr>
          <w:rFonts w:hint="eastAsia" w:ascii="仿宋_GB2312" w:hAnsi="仿宋_GB2312" w:cs="仿宋_GB2312"/>
          <w:color w:val="auto"/>
          <w:sz w:val="32"/>
          <w:highlight w:val="none"/>
        </w:rPr>
        <w:t>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阶段性目标为：本项目总投资32万元，主要</w:t>
      </w:r>
      <w:r>
        <w:rPr>
          <w:rFonts w:hint="eastAsia" w:ascii="仿宋_GB2312" w:hAnsi="仿宋_GB2312" w:cs="仿宋_GB2312"/>
          <w:color w:val="auto"/>
          <w:sz w:val="32"/>
          <w:highlight w:val="none"/>
          <w:lang w:eastAsia="zh-CN"/>
        </w:rPr>
        <w:t>用于</w:t>
      </w:r>
      <w:r>
        <w:rPr>
          <w:rFonts w:hint="eastAsia" w:ascii="仿宋_GB2312" w:hAnsi="仿宋_GB2312" w:cs="仿宋_GB2312"/>
          <w:color w:val="auto"/>
          <w:sz w:val="32"/>
          <w:highlight w:val="none"/>
        </w:rPr>
        <w:t>印刷出版《阿图什市年鉴（2023）》500册、《阿图什市年鉴（2024）》500册，以及开展年鉴编纂交流培训费、办公用品费、打印复印费、年鉴资料三审三校邮寄费、县市交叉学习交流费等工作，项目的实施有利于全面、详实、客观地反映我市政治、经济、文化等各个领域取得的重大成就及新的变化，通过该项目实施达到对史志文化资源进行挖掘、开发、保护和利用，做好“存史、资政、教化、育人”的效果。</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阿图什市年鉴2023》《阿图什市年鉴2024》出版印刷经费项目的深入调研基础上，按照《项目支出绩效评价管理办法》（财预〔2021〕10号）对于指标体系的要求和规范，建立一套适合评价《阿图什市年鉴2023》《阿图什市年鉴2024》出版印刷经费项目的指标体系，从项目决策、项目过程、项目产出和项目绩效四个维度全面考察《阿图什市年鉴2023》《阿图什市年鉴2024》出版印刷经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cs="仿宋_GB2312"/>
          <w:color w:val="auto"/>
          <w:sz w:val="32"/>
          <w:szCs w:val="24"/>
          <w:highlight w:val="none"/>
          <w:lang w:val="en-US" w:eastAsia="zh-CN" w:bidi="ar-SA"/>
        </w:rPr>
        <w:t>《阿图什市年鉴2023》《阿图什市年鉴2024》出版印刷经费项目</w:t>
      </w:r>
      <w:r>
        <w:rPr>
          <w:rFonts w:hint="eastAsia" w:ascii="仿宋_GB2312" w:hAnsi="仿宋_GB2312" w:eastAsia="仿宋_GB2312" w:cs="仿宋_GB2312"/>
          <w:color w:val="auto"/>
          <w:sz w:val="32"/>
          <w:szCs w:val="24"/>
          <w:highlight w:val="none"/>
          <w:lang w:val="en-US" w:eastAsia="zh-CN" w:bidi="ar-SA"/>
        </w:rPr>
        <w:t>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rFonts w:hint="eastAsia"/>
          <w:b w:val="0"/>
          <w:bCs w:val="0"/>
          <w:color w:val="auto"/>
          <w:highlight w:val="none"/>
        </w:rPr>
      </w:pPr>
      <w:r>
        <w:rPr>
          <w:rFonts w:hint="eastAsia"/>
          <w:b w:val="0"/>
          <w:bCs w:val="0"/>
          <w:color w:val="auto"/>
          <w:highlight w:val="none"/>
        </w:rPr>
        <w:t>本次评价成立了评价工作组，成员如下：</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textAlignment w:val="auto"/>
        <w:outlineLvl w:val="9"/>
        <w:rPr>
          <w:b w:val="0"/>
          <w:bCs w:val="0"/>
          <w:color w:val="auto"/>
          <w:highlight w:val="none"/>
        </w:rPr>
      </w:pPr>
      <w:r>
        <w:br w:type="page"/>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刘晓梅</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宋红霞</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黄士纲</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年鉴2023》《阿图什市年鉴2024》出版印刷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组织管理、产出与效益效果。在此基础上，以相关的项目数据为基础，综合运用不同的评价方法，结合评价标准和评分规则，《阿图什市年鉴2023》《阿图什市年鉴2024》出版印刷经费项目综合得分为45.42分，</w:t>
      </w:r>
      <w:r>
        <w:rPr>
          <w:rFonts w:hint="eastAsia" w:ascii="仿宋_GB2312" w:hAnsi="Cambria" w:eastAsia="仿宋_GB2312"/>
          <w:color w:val="auto"/>
          <w:sz w:val="32"/>
          <w:szCs w:val="32"/>
          <w:highlight w:val="none"/>
        </w:rPr>
        <w:t>评价结果为</w:t>
      </w:r>
      <w:r>
        <w:rPr>
          <w:rFonts w:hint="eastAsia" w:ascii="仿宋_GB2312" w:hAnsi="Cambria" w:eastAsia="仿宋_GB2312"/>
          <w:color w:val="auto"/>
          <w:sz w:val="32"/>
          <w:szCs w:val="32"/>
          <w:highlight w:val="none"/>
          <w:lang w:val="en-US" w:eastAsia="zh-CN"/>
        </w:rPr>
        <w:t>差</w:t>
      </w:r>
      <w:r>
        <w:rPr>
          <w:rFonts w:hint="eastAsia" w:ascii="仿宋_GB2312" w:hAnsi="Cambria" w:eastAsia="仿宋_GB2312"/>
          <w:color w:val="auto"/>
          <w:sz w:val="32"/>
          <w:szCs w:val="32"/>
          <w:highlight w:val="none"/>
        </w:rPr>
        <w:t>。</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《阿图什市年鉴2023》《阿图什市年鉴2024》出版印刷经费项目评价得分情况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15.54</w:t>
            </w:r>
          </w:p>
        </w:tc>
        <w:tc>
          <w:tcPr>
            <w:tcW w:w="3866" w:type="dxa"/>
            <w:tcBorders>
              <w:top w:val="single" w:color="auto" w:sz="4" w:space="0"/>
              <w:left w:val="single" w:color="auto" w:sz="4" w:space="0"/>
              <w:right w:val="single" w:color="auto" w:sz="4" w:space="0"/>
            </w:tcBorders>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项目预算执行率70.70%。</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6.89</w:t>
            </w:r>
          </w:p>
        </w:tc>
        <w:tc>
          <w:tcPr>
            <w:tcW w:w="3866" w:type="dxa"/>
            <w:tcBorders>
              <w:top w:val="single" w:color="auto" w:sz="4" w:space="0"/>
              <w:left w:val="single" w:color="auto" w:sz="4" w:space="0"/>
              <w:right w:val="single" w:color="auto" w:sz="4" w:space="0"/>
            </w:tcBorders>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未完成指标5个。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0</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bidi="ar-SA"/>
              </w:rPr>
              <w:t>未完成指标</w:t>
            </w:r>
            <w:r>
              <w:rPr>
                <w:rFonts w:hint="eastAsia" w:ascii="仿宋_GB2312" w:hAnsi="仿宋_GB2312" w:cs="仿宋_GB2312"/>
                <w:color w:val="auto"/>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bidi="ar-SA"/>
              </w:rPr>
              <w:t>个。</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cs="仿宋_GB2312"/>
                <w:color w:val="auto"/>
                <w:sz w:val="32"/>
                <w:szCs w:val="32"/>
                <w:highlight w:val="none"/>
                <w:lang w:eastAsia="zh-CN"/>
              </w:rPr>
              <w:t>45.42</w:t>
            </w:r>
          </w:p>
        </w:tc>
        <w:tc>
          <w:tcPr>
            <w:tcW w:w="3866" w:type="dxa"/>
            <w:tcBorders>
              <w:top w:val="single" w:color="auto" w:sz="4" w:space="0"/>
              <w:left w:val="single" w:color="auto" w:sz="4" w:space="0"/>
              <w:bottom w:val="single" w:color="auto" w:sz="4" w:space="0"/>
              <w:right w:val="single" w:color="auto" w:sz="4" w:space="0"/>
            </w:tcBorders>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共计支出22.6119万元，用于印刷《阿图什市年鉴（2023）》500册、《阿图什市年鉴（2024）》500册；通过实施本项目有利于全面、详实、客观地反映我市政治、经济、文化等各个领域取得的重大成就及新的变化，通过该项目实施达到对史志文化资源进行挖掘、开发、保护和利用，做好“存史、资政、教化、育人”的效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val="en-US" w:eastAsia="zh-CN" w:bidi="ar-SA"/>
        </w:rPr>
        <w:t>《阿图什市年鉴2023》《阿图什市年鉴2024》出版印刷经费项目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eastAsia="zh-CN"/>
        </w:rPr>
        <w:t>22.61万元</w:t>
      </w:r>
      <w:r>
        <w:rPr>
          <w:rFonts w:hint="eastAsia" w:ascii="仿宋_GB2312" w:hAnsi="仿宋_GB2312" w:cs="仿宋_GB2312"/>
          <w:color w:val="auto"/>
          <w:sz w:val="32"/>
          <w:szCs w:val="32"/>
          <w:highlight w:val="none"/>
        </w:rPr>
        <w:t>，评价得分值</w:t>
      </w:r>
      <w:r>
        <w:rPr>
          <w:rFonts w:hint="eastAsia" w:ascii="仿宋_GB2312" w:hAnsi="仿宋_GB2312" w:cs="仿宋_GB2312"/>
          <w:color w:val="auto"/>
          <w:sz w:val="32"/>
          <w:szCs w:val="32"/>
          <w:highlight w:val="none"/>
          <w:lang w:eastAsia="zh-CN"/>
        </w:rPr>
        <w:t>45.42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组织形式，明确了该项目经费的开支范围为开展年鉴编纂交流培训费、办公用品费、打印复印费、年鉴资料三审三校邮寄费、县市交叉学习交流费等工作，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（4）依照财政资金管理制度，按照不定期检查与项目周期检查相结合的方式，对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《阿图什市年鉴2023》《阿图什市年鉴2024》出版印刷经费项目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数量指标为出版年鉴书籍数量，预期指标值为大于等于1000册，实际完成值为0册，指标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达到预期目标。原因：目前年鉴已完成印刷工作，尚未发行出版，因此存在偏差；措施：下一年度做好项目管理，提高工作执行进度，减少偏差。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质量指标为年鉴发放率，预期指标值为等于100%，实际完成值为0%，指标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达到预期目标。原因：目前年鉴已完成印刷工作，尚未发行出版，因此存在偏差；措施：下一年度做好项目管理，提高工作执行进度，减少偏差。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时效指标为项目完成时间，预期指标值为2024年12月，实际完成值为2024年12月，指标达到预期目标。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时效指标为资金拨付及时性，预期指标值为等于100%，实际完成值为70.7%，指标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firstLine="640" w:firstLineChars="200"/>
        <w:jc w:val="both"/>
        <w:textAlignment w:val="auto"/>
        <w:rPr>
          <w:rFonts w:ascii="仿宋_GB2312"/>
          <w:color w:val="auto"/>
          <w:sz w:val="32"/>
          <w:szCs w:val="32"/>
          <w:highlight w:val="none"/>
        </w:rPr>
      </w:pPr>
    </w:p>
    <w:p>
      <w:pPr>
        <w:keepNext w:val="0"/>
        <w:keepLines w:val="0"/>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经济成本指标为业务工作开展成本，预期指标值为小于等于4万元，实际完成值为0万元，指标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达到预期目标。原因：目前年鉴已完成印刷工作，尚未发行出版，因此存在偏差；措施：下一年度做好项目管理，提高工作执行进度，减少偏差。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经济成本指标为年鉴印刷成本，预期指标值为小于等于28万元，实际完成值为22.6119万元，指标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hAnsi="仿宋" w:eastAsia="仿宋_GB2312" w:cs="宋体"/>
          <w:bCs/>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bCs/>
          <w:color w:val="auto"/>
          <w:sz w:val="32"/>
          <w:szCs w:val="32"/>
          <w:highlight w:val="none"/>
        </w:rPr>
      </w:pPr>
      <w:r>
        <w:rPr>
          <w:rFonts w:hint="eastAsia" w:ascii="仿宋_GB2312" w:hAnsi="仿宋" w:cs="宋体"/>
          <w:bCs/>
          <w:color w:val="auto"/>
          <w:sz w:val="32"/>
          <w:szCs w:val="32"/>
          <w:highlight w:val="none"/>
        </w:rPr>
        <w:t>社会效益指标为年鉴使用率，预期指标值为等于100%，实际完成值为0%，指标</w:t>
      </w:r>
      <w:r>
        <w:rPr>
          <w:rFonts w:hint="eastAsia" w:ascii="仿宋_GB2312" w:hAnsi="仿宋" w:cs="宋体"/>
          <w:bCs/>
          <w:color w:val="auto"/>
          <w:sz w:val="32"/>
          <w:szCs w:val="32"/>
          <w:highlight w:val="none"/>
          <w:lang w:val="en-US" w:eastAsia="zh-CN"/>
        </w:rPr>
        <w:t>未</w:t>
      </w:r>
      <w:r>
        <w:rPr>
          <w:rFonts w:hint="eastAsia" w:ascii="仿宋_GB2312" w:hAnsi="仿宋" w:cs="宋体"/>
          <w:bCs/>
          <w:color w:val="auto"/>
          <w:sz w:val="32"/>
          <w:szCs w:val="32"/>
          <w:highlight w:val="none"/>
        </w:rPr>
        <w:t>达到预期目标。原因：目前年鉴已完成印刷工作，尚未发行出版，因此存在偏差；措施：下一年度做好项目管理，提高工作执行进度，减少偏差。</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default" w:ascii="仿宋_GB2312" w:hAnsi="仿宋" w:eastAsia="仿宋_GB2312"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4．满意度指标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满意度指标为年鉴使用人员满意度，预期指标值为大于等于95%，</w:t>
      </w:r>
      <w:r>
        <w:rPr>
          <w:rFonts w:hint="eastAsia" w:ascii="仿宋_GB2312" w:hAnsi="仿宋" w:cs="宋体"/>
          <w:bCs/>
          <w:color w:val="auto"/>
          <w:sz w:val="32"/>
          <w:szCs w:val="32"/>
          <w:highlight w:val="none"/>
          <w:lang w:val="en-US" w:eastAsia="zh-CN"/>
        </w:rPr>
        <w:t>项目</w:t>
      </w:r>
      <w:r>
        <w:rPr>
          <w:rFonts w:hint="eastAsia" w:ascii="仿宋_GB2312" w:hAnsi="仿宋" w:cs="宋体"/>
          <w:bCs/>
          <w:color w:val="auto"/>
          <w:sz w:val="32"/>
          <w:szCs w:val="32"/>
          <w:highlight w:val="none"/>
        </w:rPr>
        <w:t>年鉴书籍</w:t>
      </w:r>
      <w:r>
        <w:rPr>
          <w:rFonts w:hint="eastAsia" w:ascii="仿宋_GB2312" w:hAnsi="仿宋" w:cs="宋体"/>
          <w:bCs/>
          <w:color w:val="auto"/>
          <w:sz w:val="32"/>
          <w:szCs w:val="32"/>
          <w:highlight w:val="none"/>
          <w:lang w:val="en-US" w:eastAsia="zh-CN"/>
        </w:rPr>
        <w:t>未</w:t>
      </w:r>
      <w:r>
        <w:rPr>
          <w:rFonts w:hint="eastAsia" w:ascii="仿宋_GB2312" w:hAnsi="仿宋" w:cs="宋体"/>
          <w:bCs/>
          <w:color w:val="auto"/>
          <w:sz w:val="32"/>
          <w:szCs w:val="32"/>
          <w:highlight w:val="none"/>
        </w:rPr>
        <w:t>出版，实际完成值为0%，指标</w:t>
      </w:r>
      <w:r>
        <w:rPr>
          <w:rFonts w:hint="eastAsia" w:ascii="仿宋_GB2312" w:hAnsi="仿宋" w:cs="宋体"/>
          <w:bCs/>
          <w:color w:val="auto"/>
          <w:sz w:val="32"/>
          <w:szCs w:val="32"/>
          <w:highlight w:val="none"/>
          <w:lang w:val="en-US" w:eastAsia="zh-CN"/>
        </w:rPr>
        <w:t>未</w:t>
      </w:r>
      <w:r>
        <w:rPr>
          <w:rFonts w:hint="eastAsia" w:ascii="仿宋_GB2312" w:hAnsi="仿宋" w:cs="宋体"/>
          <w:bCs/>
          <w:color w:val="auto"/>
          <w:sz w:val="32"/>
          <w:szCs w:val="32"/>
          <w:highlight w:val="none"/>
        </w:rPr>
        <w:t>达到预期目标。原因：目前年鉴已完成印刷工作，尚未发行出版，因此存在偏差；措施：下一年度做好项目管理，提高工作执行进度，减少偏差。</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lang w:val="en-US" w:eastAsia="zh-CN"/>
        </w:rPr>
      </w:pPr>
      <w:r>
        <w:rPr>
          <w:rFonts w:hint="eastAsia"/>
          <w:color w:val="auto"/>
          <w:sz w:val="32"/>
          <w:highlight w:val="none"/>
        </w:rPr>
        <w:t>本项目全年预算数</w:t>
      </w:r>
      <w:r>
        <w:rPr>
          <w:rFonts w:hint="eastAsia"/>
          <w:color w:val="auto"/>
          <w:sz w:val="32"/>
          <w:highlight w:val="none"/>
          <w:lang w:eastAsia="zh-CN"/>
        </w:rPr>
        <w:t>32万元</w:t>
      </w:r>
      <w:r>
        <w:rPr>
          <w:rFonts w:hint="eastAsia"/>
          <w:color w:val="auto"/>
          <w:sz w:val="32"/>
          <w:highlight w:val="none"/>
        </w:rPr>
        <w:t>，执行数</w:t>
      </w:r>
      <w:r>
        <w:rPr>
          <w:rFonts w:hint="eastAsia"/>
          <w:color w:val="auto"/>
          <w:sz w:val="32"/>
          <w:highlight w:val="none"/>
          <w:lang w:eastAsia="zh-CN"/>
        </w:rPr>
        <w:t>22.61万元</w:t>
      </w:r>
      <w:r>
        <w:rPr>
          <w:rFonts w:hint="eastAsia"/>
          <w:color w:val="auto"/>
          <w:sz w:val="32"/>
          <w:highlight w:val="none"/>
        </w:rPr>
        <w:t>，执行率</w:t>
      </w:r>
      <w:r>
        <w:rPr>
          <w:rFonts w:hint="eastAsia"/>
          <w:color w:val="auto"/>
          <w:sz w:val="32"/>
          <w:highlight w:val="none"/>
          <w:lang w:eastAsia="zh-CN"/>
        </w:rPr>
        <w:t>70.70%</w:t>
      </w:r>
      <w:r>
        <w:rPr>
          <w:rFonts w:hint="eastAsia"/>
          <w:color w:val="auto"/>
          <w:sz w:val="32"/>
          <w:highlight w:val="none"/>
        </w:rPr>
        <w:t>，绩效指标完成率</w:t>
      </w:r>
      <w:r>
        <w:rPr>
          <w:rFonts w:hint="eastAsia"/>
          <w:color w:val="auto"/>
          <w:sz w:val="32"/>
          <w:highlight w:val="none"/>
          <w:lang w:val="en-US" w:eastAsia="zh-CN"/>
        </w:rPr>
        <w:t>31.43%</w:t>
      </w:r>
      <w:r>
        <w:rPr>
          <w:rFonts w:hint="eastAsia"/>
          <w:color w:val="auto"/>
          <w:sz w:val="32"/>
          <w:highlight w:val="none"/>
        </w:rPr>
        <w:t>，偏差率</w:t>
      </w:r>
      <w:r>
        <w:rPr>
          <w:rFonts w:hint="eastAsia"/>
          <w:color w:val="auto"/>
          <w:sz w:val="32"/>
          <w:highlight w:val="none"/>
          <w:lang w:val="en-US" w:eastAsia="zh-CN"/>
        </w:rPr>
        <w:t>39.27%</w:t>
      </w:r>
      <w:r>
        <w:rPr>
          <w:rFonts w:hint="eastAsia"/>
          <w:color w:val="auto"/>
          <w:sz w:val="32"/>
          <w:highlight w:val="none"/>
        </w:rPr>
        <w:t>。偏差原因：</w:t>
      </w:r>
      <w:r>
        <w:rPr>
          <w:rFonts w:hint="eastAsia"/>
          <w:color w:val="auto"/>
          <w:sz w:val="32"/>
          <w:highlight w:val="none"/>
          <w:lang w:val="en-US" w:eastAsia="zh-CN"/>
        </w:rPr>
        <w:t>项目目前年鉴已完成印刷工作，尚未发行出版，因此存在偏差；下一步措施为下一年将做好项目管理，提高工作执行进度，减少偏差。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数量指标“出版年鉴书籍数量”和质量指标“年鉴发放率”指标未达到预期目标的原因是：目前年鉴已完成印刷工作，尚未发行出版，因此存在偏差；下一步措施为下一年度做好项目管理，提高工作执行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时效指标“资金拨付及时性”和经济成本指标“年鉴相关业务工作开展成本”“年鉴印刷成本”指标未达到预期目标的原因是：第三方机构未及时提供支出资料，未能按时支出；下一步措施为及时催收支出资料，加快项目支出进度，减少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楷体"/>
          <w:color w:val="auto"/>
          <w:sz w:val="36"/>
          <w:szCs w:val="32"/>
          <w:highlight w:val="none"/>
        </w:rPr>
      </w:pPr>
      <w:r>
        <w:rPr>
          <w:rFonts w:hint="eastAsia"/>
          <w:color w:val="auto"/>
          <w:sz w:val="32"/>
          <w:highlight w:val="none"/>
        </w:rPr>
        <w:t>社会效益指标“年鉴使用率”和满意度指标“年鉴使用人员满意度”指标未达到预期目标的原因是：目前年鉴已完成印刷工作，尚未发行出版，因此存在偏差；下一步措施为下一年度做好项目管理，提高工作执行进度，减少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lang w:val="en-US" w:eastAsia="zh-CN"/>
        </w:rPr>
      </w:pPr>
      <w:r>
        <w:rPr>
          <w:rFonts w:hint="eastAsia"/>
          <w:color w:val="auto"/>
          <w:highlight w:val="none"/>
          <w:lang w:val="en-US" w:eastAsia="zh-CN"/>
        </w:rPr>
        <w:t>无。</w:t>
      </w:r>
    </w:p>
    <w:p>
      <w:pPr>
        <w:pStyle w:val="2"/>
        <w:rPr>
          <w:rFonts w:hint="eastAsia"/>
          <w:color w:val="auto"/>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3.54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vAlign w:val="center"/>
          </w:tcPr>
          <w:p>
            <w:pPr>
              <w:spacing w:line="400" w:lineRule="exact"/>
              <w:jc w:val="center"/>
              <w:rPr>
                <w:rFonts w:hint="eastAsia" w:ascii="仿宋_GB2312" w:hAnsi="仿宋_GB2312" w:cs="仿宋_GB2312"/>
                <w:color w:val="auto"/>
                <w:kern w:val="0"/>
                <w:sz w:val="24"/>
                <w:highlight w:val="none"/>
              </w:rPr>
            </w:pPr>
          </w:p>
        </w:tc>
        <w:tc>
          <w:tcPr>
            <w:tcW w:w="1478" w:type="dxa"/>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5.07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1.82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vAlign w:val="center"/>
          </w:tcPr>
          <w:p>
            <w:pPr>
              <w:widowControl/>
              <w:spacing w:line="400" w:lineRule="exact"/>
              <w:jc w:val="center"/>
              <w:rPr>
                <w:rFonts w:hint="eastAsia" w:ascii="仿宋_GB2312" w:hAnsi="仿宋_GB2312" w:eastAsia="仿宋_GB2312" w:cs="仿宋_GB2312"/>
                <w:color w:val="auto"/>
                <w:kern w:val="0"/>
                <w:sz w:val="24"/>
                <w:highlight w:val="none"/>
                <w:lang w:eastAsia="zh-CN"/>
              </w:rPr>
            </w:pPr>
            <w:r>
              <w:rPr>
                <w:rFonts w:hint="eastAsia" w:ascii="仿宋_GB2312" w:hAnsi="仿宋_GB2312" w:cs="仿宋_GB2312"/>
                <w:color w:val="auto"/>
                <w:kern w:val="0"/>
                <w:sz w:val="24"/>
                <w:highlight w:val="none"/>
                <w:lang w:eastAsia="zh-CN"/>
              </w:rPr>
              <w:t>45.42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10D68"/>
    <w:multiLevelType w:val="multilevel"/>
    <w:tmpl w:val="68D10D68"/>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10D73"/>
    <w:multiLevelType w:val="singleLevel"/>
    <w:tmpl w:val="68D10D73"/>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3121309"/>
    <w:rsid w:val="777256E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72E1BF6B69B746D99B4F571FBC659DDD_13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fd16e-b931-4f1c-ac55-e28144736dd3}">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21</Pages>
  <Words>531</Words>
  <Characters>567</Characters>
  <Lines>56</Lines>
  <Paragraphs>15</Paragraphs>
  <TotalTime>6</TotalTime>
  <ScaleCrop>false</ScaleCrop>
  <LinksUpToDate>false</LinksUpToDate>
  <CharactersWithSpaces>567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2025-09-22T08:47:58Z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72E1BF6B69B746D99B4F571FBC659DDD_13</vt:lpwstr>
  </property>
  <property fmtid="{D5CDD505-2E9C-101B-9397-08002B2CF9AE}" pid="4" name="KSOTemplateDocerSaveRecord">
    <vt:lpwstr>eyJoZGlkIjoiNDI0NDJkOGYwMTkzMjYxMzMxMmY2Njg1ZjNkYzk2MzkiLCJ1c2VySWQiOiIzMzAyMjM5MTcifQ_x003D__x003D_</vt:lpwstr>
  </property>
</Properties>
</file>