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人民调解经费项目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项目名称：人民调解经费项目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阿图什市司法局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val="en-US" w:eastAsia="zh-CN"/>
        </w:rPr>
        <w:t>阿图什市司法局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人民调解经费项目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人民调解充分依靠群众智慧和力量，及时就地化解矛盾纠纷，是坚持和发展新时代“枫桥经验”的生动实践，在维护社会和谐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深化法治为民、促进经济社会发展等方面发挥着重要作用。面对全面依法治国的新要求和人民群众对公平正义的新期待，立足人民调解工作在平安中国建设中的新职责新使命，锚定新目标新任务，充分发挥人民调解维护社会“第一道防线”</w:t>
      </w:r>
      <w:r>
        <w:rPr>
          <w:rFonts w:hint="eastAsia" w:ascii="仿宋_GB2312" w:hAnsi="仿宋_GB2312" w:cs="仿宋_GB2312"/>
          <w:color w:val="auto"/>
          <w:sz w:val="32"/>
          <w:szCs w:val="32"/>
          <w:highlight w:val="none"/>
          <w:lang w:val="en-US" w:eastAsia="zh-CN"/>
        </w:rPr>
        <w:t>的</w:t>
      </w:r>
      <w:r>
        <w:rPr>
          <w:rFonts w:hint="eastAsia" w:ascii="仿宋_GB2312" w:hAnsi="仿宋_GB2312" w:cs="仿宋_GB2312"/>
          <w:color w:val="auto"/>
          <w:sz w:val="32"/>
          <w:szCs w:val="32"/>
          <w:highlight w:val="none"/>
        </w:rPr>
        <w:t>作用。</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中华人民共和国人民调解法》、《财政部、司法部关于进一步加强人民调解工作经费保障意见》财行【2007】179号文件，安排项目资金5万元，用于848个调解员发放补助，40元/人为标准，组织培训场次3次，印刷宣传材料4批次，表彰奖励次数1次；通过项目的实施</w:t>
      </w:r>
      <w:bookmarkStart w:id="0" w:name="_GoBack"/>
      <w:bookmarkEnd w:id="0"/>
      <w:r>
        <w:rPr>
          <w:rFonts w:hint="eastAsia" w:ascii="仿宋_GB2312" w:hAnsi="仿宋_GB2312" w:cs="仿宋_GB2312"/>
          <w:color w:val="auto"/>
          <w:sz w:val="32"/>
          <w:szCs w:val="30"/>
          <w:highlight w:val="none"/>
        </w:rPr>
        <w:t>大力宣传法律制度</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实施主体：本项目的主管部门为阿图什市司法局,实施单位为阿图什市司法局，主要职责：项目实施过程中严格按照实施方案进行实施并及时进行监督管理，项目实施后进行及时验收及后期管理。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4.678</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93.6</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人民调解员补助</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4.178万元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组织培训成本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0.5万元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中华人民共和国人民调解法》、《财政部、司法部关于进一步加强人民调解工作经费保障意见》财行【2007】179号文件，安排项目资金5万元，用于848个调解员发放补助，40元/人为标准，组织培训场次3次，印刷宣传材料4批次，表彰奖励次数1次；通过项目的实施大力宣传法律制度。</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人民调解经费项目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人民调解经费项目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人民调解经费项目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人民调解经费项目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黄龙平</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王江红</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孙丽</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人民调解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组织管理、产出与效益效果。在此基础上，以相关的项目数据为基础，综合运用不同的评价方法，结合评价标准和评分规则，人民调解经费项目综合得分为91.78分，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年人民调解经费项目评价得分情况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16.68</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预算执行率扣0.32分</w:t>
            </w:r>
          </w:p>
        </w:tc>
      </w:tr>
      <w:tr>
        <w:tblPrEx>
          <w:tblLayout w:type="fixed"/>
          <w:tblCellMar>
            <w:top w:w="0" w:type="dxa"/>
            <w:left w:w="10" w:type="dxa"/>
            <w:bottom w:w="0" w:type="dxa"/>
            <w:right w:w="10" w:type="dxa"/>
          </w:tblCellMar>
        </w:tblPrEx>
        <w:trPr>
          <w:trHeight w:val="143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22.1</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数量指标扣2.7分</w:t>
            </w:r>
          </w:p>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成本指标扣5.2分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91.78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项目实施的效益进行描述</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年已完成人民调解员人数860人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组织培训场次3次等工作；通过该项目的实施大力宣传法律制度。</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 w:cs="宋体"/>
          <w:color w:val="auto"/>
          <w:kern w:val="0"/>
          <w:sz w:val="32"/>
          <w:szCs w:val="32"/>
          <w:highlight w:val="none"/>
          <w:lang w:eastAsia="zh-CN"/>
        </w:rPr>
        <w:t>人民调解经费项目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4.678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91.78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人民调解经费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人民调解经费项目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数量指标为人民调解员人数，预期指标值是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848人，实际完成值是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860人，指标</w:t>
      </w:r>
      <w:r>
        <w:rPr>
          <w:rFonts w:hint="eastAsia" w:ascii="仿宋_GB2312" w:hAnsi="仿宋_GB2312" w:cs="仿宋_GB2312"/>
          <w:color w:val="auto"/>
          <w:sz w:val="32"/>
          <w:szCs w:val="32"/>
          <w:highlight w:val="none"/>
          <w:lang w:val="en-US" w:eastAsia="zh-CN"/>
        </w:rPr>
        <w:t>超出</w:t>
      </w:r>
      <w:r>
        <w:rPr>
          <w:rFonts w:hint="eastAsia" w:ascii="仿宋_GB2312" w:hAnsi="仿宋_GB2312" w:cs="仿宋_GB2312"/>
          <w:color w:val="auto"/>
          <w:sz w:val="32"/>
          <w:szCs w:val="32"/>
          <w:highlight w:val="none"/>
        </w:rPr>
        <w:t>达到预期目标。原因：根据实际情况发放补助，人员数量有所变动，因此指标存在偏差；措施：今后做好项目计划，减少偏差。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数量指标为组织培训场次，预期指标值是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数量指标为表彰奖励次数，预期指标值是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达到预期目标。原因：表彰奖励为年底举行，2024年表彰奖励尚未开展；措施：今后做好项目计划。减少偏差。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成本指标为人民调解员补助标准，预期指标值是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40元/人次，实际完成值是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40元/人次，指标</w:t>
      </w:r>
      <w:r>
        <w:rPr>
          <w:rFonts w:hint="eastAsia" w:ascii="仿宋_GB2312"/>
          <w:color w:val="auto"/>
          <w:sz w:val="32"/>
          <w:szCs w:val="32"/>
          <w:highlight w:val="none"/>
          <w:lang w:val="en-US" w:eastAsia="zh-CN"/>
        </w:rPr>
        <w:t>超出</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成本指标为表彰奖励费用，预期指标值是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0.62万元，实际完成值是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达到预期目标。原因：表彰奖励为年底举行，2024年表彰奖励尚未开展；措施：今后做好项目计划。减少偏差。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成本指标为组织培训成本，预期指标值是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满意度指标为人民调解员满意度，预期指标值是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5</w:t>
      </w:r>
      <w:r>
        <w:rPr>
          <w:rFonts w:hint="eastAsia"/>
          <w:color w:val="auto"/>
          <w:sz w:val="32"/>
          <w:highlight w:val="none"/>
        </w:rPr>
        <w:t>万元，执行数</w:t>
      </w:r>
      <w:r>
        <w:rPr>
          <w:rFonts w:hint="eastAsia"/>
          <w:color w:val="auto"/>
          <w:sz w:val="32"/>
          <w:highlight w:val="none"/>
          <w:lang w:val="en-US" w:eastAsia="zh-CN"/>
        </w:rPr>
        <w:t>4.678</w:t>
      </w:r>
      <w:r>
        <w:rPr>
          <w:rFonts w:hint="eastAsia"/>
          <w:color w:val="auto"/>
          <w:sz w:val="32"/>
          <w:highlight w:val="none"/>
        </w:rPr>
        <w:t>万元，执行率</w:t>
      </w:r>
      <w:r>
        <w:rPr>
          <w:rFonts w:hint="eastAsia"/>
          <w:color w:val="auto"/>
          <w:sz w:val="32"/>
          <w:highlight w:val="none"/>
          <w:lang w:val="en-US" w:eastAsia="zh-CN"/>
        </w:rPr>
        <w:t>93.6</w:t>
      </w:r>
      <w:r>
        <w:rPr>
          <w:rFonts w:hint="eastAsia"/>
          <w:color w:val="auto"/>
          <w:sz w:val="32"/>
          <w:highlight w:val="none"/>
        </w:rPr>
        <w:t>%，绩效指标完成率</w:t>
      </w:r>
      <w:r>
        <w:rPr>
          <w:rFonts w:hint="eastAsia"/>
          <w:color w:val="auto"/>
          <w:sz w:val="32"/>
          <w:highlight w:val="none"/>
          <w:lang w:val="en-US" w:eastAsia="zh-CN"/>
        </w:rPr>
        <w:t>77.4</w:t>
      </w:r>
      <w:r>
        <w:rPr>
          <w:rFonts w:hint="eastAsia"/>
          <w:color w:val="auto"/>
          <w:sz w:val="32"/>
          <w:highlight w:val="none"/>
        </w:rPr>
        <w:t>%，偏差率</w:t>
      </w:r>
      <w:r>
        <w:rPr>
          <w:rFonts w:hint="eastAsia"/>
          <w:color w:val="auto"/>
          <w:sz w:val="32"/>
          <w:highlight w:val="none"/>
          <w:lang w:val="en-US" w:eastAsia="zh-CN"/>
        </w:rPr>
        <w:t>16.2</w:t>
      </w:r>
      <w:r>
        <w:rPr>
          <w:rFonts w:hint="eastAsia"/>
          <w:color w:val="auto"/>
          <w:sz w:val="32"/>
          <w:highlight w:val="none"/>
        </w:rPr>
        <w:t>%。偏差原因：根据实际情况发放补助，人员数量有所变动，因此指标存在偏差；项目部分支出资料及手续不完整，导致指标未能完成。</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91.78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singleLevel"/>
    <w:tmpl w:val="B5E306ED"/>
    <w:lvl w:ilvl="0" w:tentative="0">
      <w:start w:val="3"/>
      <w:numFmt w:val="decimal"/>
      <w:suff w:val="nothing"/>
      <w:lvlText w:val="%1．"/>
      <w:lvlJc w:val="left"/>
      <w:rPr>
        <w:rFonts w:hint="default"/>
        <w:b/>
        <w:bCs/>
        <w:color w:val="auto"/>
      </w:rPr>
    </w:lvl>
  </w:abstractNum>
  <w:abstractNum w:abstractNumId="1">
    <w:nsid w:val="BF205925"/>
    <w:multiLevelType w:val="multilevel"/>
    <w:tmpl w:val="BF205925"/>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3D62ECE"/>
    <w:multiLevelType w:val="singleLevel"/>
    <w:tmpl w:val="03D62ECE"/>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4D458DC"/>
    <w:rsid w:val="42967B44"/>
    <w:rsid w:val="485C22DB"/>
    <w:rsid w:val="69006841"/>
    <w:rsid w:val="6DB86E24"/>
    <w:rsid w:val="7419053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681F800C864448C181B56E5EA2620DD9_13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e8fbb-7477-4eca-8871-440c023ba67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9</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2025-09-18T11:09:08Z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681F800C864448C181B56E5EA2620DD9_13</vt:lpwstr>
  </property>
  <property fmtid="{D5CDD505-2E9C-101B-9397-08002B2CF9AE}" pid="4" name="KSOTemplateDocerSaveRecord">
    <vt:lpwstr>eyJoZGlkIjoiYzZkNzQ4ZWFiZmQ4NTRhOWRkZTk3YTMwMjlmMmZhYmUiLCJ1c2VySWQiOiI1NzgxMjU4NDIifQ_x003D__x003D_</vt:lpwstr>
  </property>
</Properties>
</file>