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阿图什市工商业联合会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（一）加强和改进非公有制经济人士思想政治工作。</w:t>
      </w:r>
    </w:p>
    <w:p>
      <w:pPr>
        <w:spacing w:line="580" w:lineRule="exact"/>
        <w:ind w:firstLine="640"/>
        <w:jc w:val="both"/>
      </w:pPr>
      <w:r>
        <w:rPr>
          <w:rFonts w:ascii="仿宋_GB2312" w:hAnsi="仿宋_GB2312" w:eastAsia="仿宋_GB2312"/>
          <w:sz w:val="32"/>
        </w:rPr>
        <w:t>(1)引导非公有制经济人士践行社会主义核心价值体系，树立中国特色社会主义共同理想，树立义利兼顾、以义为先理念，学习、贯彻党和国家的方针政策，发扬自我教育的优良传统，自觉地把自身企业的发展与国家的发展结合起来，把个人富裕与</w:t>
      </w:r>
      <w:r>
        <w:rPr>
          <w:rFonts w:hint="eastAsia" w:ascii="仿宋_GB2312" w:hAnsi="仿宋_GB2312" w:eastAsia="仿宋_GB2312"/>
          <w:sz w:val="32"/>
          <w:lang w:eastAsia="zh-CN"/>
        </w:rPr>
        <w:t>全体人民共同富裕</w:t>
      </w:r>
      <w:r>
        <w:rPr>
          <w:rFonts w:ascii="仿宋_GB2312" w:hAnsi="仿宋_GB2312" w:eastAsia="仿宋_GB2312"/>
          <w:sz w:val="32"/>
        </w:rPr>
        <w:t>结合起来，把遵循市场法则与发扬社会主义道德结合起来，爱国、敬业、诚信、守法、贡献，做合格的中国特色社会主义事业建设者。宣传表彰他们中的先进典型。</w:t>
      </w:r>
    </w:p>
    <w:p>
      <w:pPr>
        <w:spacing w:line="580" w:lineRule="exact"/>
        <w:ind w:firstLine="640"/>
        <w:jc w:val="both"/>
      </w:pPr>
      <w:r>
        <w:rPr>
          <w:rFonts w:ascii="仿宋_GB2312" w:hAnsi="仿宋_GB2312" w:eastAsia="仿宋_GB2312"/>
          <w:sz w:val="32"/>
        </w:rPr>
        <w:t>(2)引导非公有制经济人士弘扬中华传统美德，弘扬时代新风，致富思源、富而思进，积极承担社会责任，热心公益事业，投身光彩事业，加强企业文化建设，支持企业党建工作，为基层党组织开展活动、发挥作用提供必要条件。</w:t>
      </w:r>
    </w:p>
    <w:p>
      <w:pPr>
        <w:spacing w:line="580" w:lineRule="exact"/>
        <w:ind w:firstLine="640"/>
        <w:jc w:val="both"/>
      </w:pPr>
      <w:r>
        <w:rPr>
          <w:rFonts w:ascii="仿宋_GB2312" w:hAnsi="仿宋_GB2312" w:eastAsia="仿宋_GB2312"/>
          <w:sz w:val="32"/>
        </w:rPr>
        <w:t>（二）参与政治协商，发挥民主监督作用，积极参政议政。</w:t>
      </w:r>
    </w:p>
    <w:p>
      <w:pPr>
        <w:spacing w:line="580" w:lineRule="exact"/>
        <w:ind w:firstLine="640"/>
        <w:jc w:val="both"/>
      </w:pPr>
      <w:r>
        <w:rPr>
          <w:rFonts w:ascii="仿宋_GB2312" w:hAnsi="仿宋_GB2312" w:eastAsia="仿宋_GB2312"/>
          <w:sz w:val="32"/>
        </w:rPr>
        <w:t>(1)密切同非公有制经济人士的联系，深入了解他们的意愿和要求，向党和政府提出相关意见和建议。</w:t>
      </w:r>
    </w:p>
    <w:p>
      <w:pPr>
        <w:spacing w:line="580" w:lineRule="exact"/>
        <w:ind w:firstLine="640"/>
        <w:jc w:val="both"/>
      </w:pPr>
      <w:r>
        <w:rPr>
          <w:rFonts w:ascii="仿宋_GB2312" w:hAnsi="仿宋_GB2312" w:eastAsia="仿宋_GB2312"/>
          <w:sz w:val="32"/>
        </w:rPr>
        <w:t>(2)围绕贯彻落实党的路线方针政策，参与国家有关政策、法律法规的制定和贯彻执行，促进非公有制经济市场环境、政策环境、法治环境、社会环境的改善。</w:t>
      </w:r>
    </w:p>
    <w:p>
      <w:pPr>
        <w:spacing w:line="580" w:lineRule="exact"/>
        <w:ind w:firstLine="640"/>
        <w:jc w:val="both"/>
      </w:pPr>
      <w:r>
        <w:rPr>
          <w:rFonts w:ascii="仿宋_GB2312" w:hAnsi="仿宋_GB2312" w:eastAsia="仿宋_GB2312"/>
          <w:sz w:val="32"/>
        </w:rPr>
        <w:t>(3)帮助非公有制经济代表人士提高参政议政能力和水平，积极反映社情民意，有序参与政治生活和社会事务。</w:t>
      </w:r>
    </w:p>
    <w:p>
      <w:pPr>
        <w:spacing w:line="580" w:lineRule="exact"/>
        <w:ind w:firstLine="640"/>
        <w:jc w:val="both"/>
      </w:pPr>
      <w:r>
        <w:rPr>
          <w:rFonts w:ascii="仿宋_GB2312" w:hAnsi="仿宋_GB2312" w:eastAsia="仿宋_GB2312"/>
          <w:sz w:val="32"/>
        </w:rPr>
        <w:t>(4)做好非公有制经济代表人士的发现、培养、推荐和管理工作。</w:t>
      </w:r>
    </w:p>
    <w:p>
      <w:pPr>
        <w:spacing w:line="580" w:lineRule="exact"/>
        <w:ind w:firstLine="640"/>
        <w:jc w:val="both"/>
      </w:pPr>
      <w:r>
        <w:rPr>
          <w:rFonts w:ascii="仿宋_GB2312" w:hAnsi="仿宋_GB2312" w:eastAsia="仿宋_GB2312"/>
          <w:sz w:val="32"/>
        </w:rPr>
        <w:t>（三）协助政府管理和服务非公有制经济。</w:t>
      </w:r>
    </w:p>
    <w:p>
      <w:pPr>
        <w:spacing w:line="580" w:lineRule="exact"/>
        <w:ind w:firstLine="640"/>
        <w:jc w:val="both"/>
      </w:pPr>
      <w:r>
        <w:rPr>
          <w:rFonts w:ascii="仿宋_GB2312" w:hAnsi="仿宋_GB2312" w:eastAsia="仿宋_GB2312"/>
          <w:sz w:val="32"/>
        </w:rPr>
        <w:t>(1)积极探索建立适应社会主义市场经济要求的服务载体和机制，为非公有制企业提供政策、信息、法律、</w:t>
      </w:r>
      <w:bookmarkStart w:id="0" w:name="_GoBack"/>
      <w:bookmarkEnd w:id="0"/>
      <w:r>
        <w:rPr>
          <w:rFonts w:ascii="仿宋_GB2312" w:hAnsi="仿宋_GB2312" w:eastAsia="仿宋_GB2312"/>
          <w:sz w:val="32"/>
        </w:rPr>
        <w:t>技术、人才等方面服务，引导非公有制企业按照科学发展观要求，加快经济发展方式转变和产业优化升级，推进结构调整和自主创新，不断增强市场竞争能力、抵御风险能力和可持续发展能力。</w:t>
      </w:r>
    </w:p>
    <w:p>
      <w:pPr>
        <w:spacing w:line="580" w:lineRule="exact"/>
        <w:ind w:firstLine="640"/>
        <w:jc w:val="both"/>
      </w:pPr>
      <w:r>
        <w:rPr>
          <w:rFonts w:ascii="仿宋_GB2312" w:hAnsi="仿宋_GB2312" w:eastAsia="仿宋_GB2312"/>
          <w:sz w:val="32"/>
        </w:rPr>
        <w:t>(2)增强与香港特别行政区、澳门特别行政区和</w:t>
      </w:r>
      <w:r>
        <w:rPr>
          <w:rFonts w:hint="eastAsia" w:ascii="仿宋_GB2312" w:hAnsi="仿宋_GB2312" w:eastAsia="仿宋_GB2312"/>
          <w:sz w:val="32"/>
          <w:lang w:eastAsia="zh-CN"/>
        </w:rPr>
        <w:t>中国台湾地区</w:t>
      </w:r>
      <w:r>
        <w:rPr>
          <w:rFonts w:ascii="仿宋_GB2312" w:hAnsi="仿宋_GB2312" w:eastAsia="仿宋_GB2312"/>
          <w:sz w:val="32"/>
        </w:rPr>
        <w:t>工商界的联系，促进经贸合作。积极开展民间外交，加强同国外工商界的交流合作，为非公有制企业开展国际合作提供服务。</w:t>
      </w:r>
    </w:p>
    <w:p>
      <w:pPr>
        <w:spacing w:line="580" w:lineRule="exact"/>
        <w:ind w:firstLine="640"/>
        <w:jc w:val="both"/>
      </w:pPr>
      <w:r>
        <w:rPr>
          <w:rFonts w:ascii="仿宋_GB2312" w:hAnsi="仿宋_GB2312" w:eastAsia="仿宋_GB2312"/>
          <w:sz w:val="32"/>
        </w:rPr>
        <w:t>(3)承办政府和有关部门委托事项。组织非公有制企业参与实施国家区域发展战略，为地方经济建设服务，促进城乡、区域统筹协调发展。</w:t>
      </w:r>
    </w:p>
    <w:p>
      <w:pPr>
        <w:spacing w:line="580" w:lineRule="exact"/>
        <w:ind w:firstLine="640"/>
        <w:jc w:val="both"/>
      </w:pPr>
      <w:r>
        <w:rPr>
          <w:rFonts w:ascii="仿宋_GB2312" w:hAnsi="仿宋_GB2312" w:eastAsia="仿宋_GB2312"/>
          <w:sz w:val="32"/>
        </w:rPr>
        <w:t>（四）促进行业协会商会改革发展。</w:t>
      </w:r>
    </w:p>
    <w:p>
      <w:pPr>
        <w:spacing w:line="580" w:lineRule="exact"/>
        <w:ind w:firstLine="640"/>
        <w:jc w:val="both"/>
      </w:pPr>
      <w:r>
        <w:rPr>
          <w:rFonts w:ascii="仿宋_GB2312" w:hAnsi="仿宋_GB2312" w:eastAsia="仿宋_GB2312"/>
          <w:sz w:val="32"/>
        </w:rPr>
        <w:t>(1)履行社会团体业务主管单位职责，指导和推动商会组织依照法律法规和本章程制定商会章程，完善法人结构，规范内部管理，发挥宣传政策、提供服务、反映诉求、维护权益、加强自律的作用，培育和发展中国特色商会组织。</w:t>
      </w:r>
    </w:p>
    <w:p>
      <w:pPr>
        <w:spacing w:line="580" w:lineRule="exact"/>
        <w:ind w:firstLine="640"/>
        <w:jc w:val="both"/>
      </w:pPr>
      <w:r>
        <w:rPr>
          <w:rFonts w:ascii="仿宋_GB2312" w:hAnsi="仿宋_GB2312" w:eastAsia="仿宋_GB2312"/>
          <w:sz w:val="32"/>
        </w:rPr>
        <w:t>(2)参与行业协会商会政策法律的制定。指导商会反映行业发展动态，促进行业健康发展。</w:t>
      </w:r>
    </w:p>
    <w:p>
      <w:pPr>
        <w:spacing w:line="580" w:lineRule="exact"/>
        <w:ind w:firstLine="640"/>
        <w:jc w:val="both"/>
      </w:pPr>
      <w:r>
        <w:rPr>
          <w:rFonts w:ascii="仿宋_GB2312" w:hAnsi="仿宋_GB2312" w:eastAsia="仿宋_GB2312"/>
          <w:sz w:val="32"/>
        </w:rPr>
        <w:t>（五）参与协调劳动关系，协同社会管理，促进社会和谐。</w:t>
      </w:r>
    </w:p>
    <w:p>
      <w:pPr>
        <w:spacing w:line="580" w:lineRule="exact"/>
        <w:ind w:firstLine="640"/>
        <w:jc w:val="both"/>
      </w:pPr>
      <w:r>
        <w:rPr>
          <w:rFonts w:ascii="仿宋_GB2312" w:hAnsi="仿宋_GB2312" w:eastAsia="仿宋_GB2312"/>
          <w:sz w:val="32"/>
        </w:rPr>
        <w:t>(1)参与协调劳动关系三方会议，同政府部门、工会组织和其他有关企业方代表一道，共同推动劳动关系立法、健全劳动标准体系和劳动关系协调机制，共同研究解决劳动关系中的重大问题，参与劳动争议调解、仲裁。</w:t>
      </w:r>
    </w:p>
    <w:p>
      <w:pPr>
        <w:spacing w:line="580" w:lineRule="exact"/>
        <w:ind w:firstLine="640"/>
        <w:jc w:val="both"/>
      </w:pPr>
      <w:r>
        <w:rPr>
          <w:rFonts w:ascii="仿宋_GB2312" w:hAnsi="仿宋_GB2312" w:eastAsia="仿宋_GB2312"/>
          <w:sz w:val="32"/>
        </w:rPr>
        <w:t>(2)引导非公有制企业依法与工会就职工工资、生活福利、社会保险等涉及职工切身利益问题进行平等协商，签订集体合同。</w:t>
      </w:r>
    </w:p>
    <w:p>
      <w:pPr>
        <w:spacing w:line="580" w:lineRule="exact"/>
        <w:ind w:firstLine="640"/>
        <w:jc w:val="both"/>
      </w:pPr>
      <w:r>
        <w:rPr>
          <w:rFonts w:ascii="仿宋_GB2312" w:hAnsi="仿宋_GB2312" w:eastAsia="仿宋_GB2312"/>
          <w:sz w:val="32"/>
        </w:rPr>
        <w:t>(3)协调处理投资者利益和劳动者权益的关系，引导非公有制企业构建和谐劳动关系，积极创造就业岗位，严格遵守国家相关法律法规和政策措施，尊重和维护员工合法权益，协助指导非公有制企业党建工作，推动其建立工会等群团组织，积极开展活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阿图什市工商业联合会2024年度，实有人数10人，其中：在职人员4人，增加1人；离休人员0人，增加0人；退休人员6人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阿图什市工商业联合会无下属预算单位，下设1个科室，分别是：办公室。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2024年度收入总计113.99万元，</w:t>
      </w:r>
      <w:r>
        <w:rPr>
          <w:rFonts w:ascii="仿宋_GB2312" w:hAnsi="仿宋_GB2312" w:eastAsia="仿宋_GB2312"/>
          <w:b w:val="0"/>
          <w:sz w:val="32"/>
        </w:rPr>
        <w:t>其中：本年收入合计113.99万元，使用非财政拨款结余（含专用结余）0.00万元，年初结转和结余0.00万元。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2024年度支出总计113.99万元，</w:t>
      </w:r>
      <w:r>
        <w:rPr>
          <w:rFonts w:ascii="仿宋_GB2312" w:hAnsi="仿宋_GB2312" w:eastAsia="仿宋_GB2312"/>
          <w:b w:val="0"/>
          <w:sz w:val="32"/>
        </w:rPr>
        <w:t>其中：本年支出合计106.58万元，结余分配0.00万元，年末结转和结余7.41万元。</w:t>
      </w:r>
    </w:p>
    <w:p>
      <w:pPr>
        <w:spacing w:line="580" w:lineRule="exact"/>
        <w:ind w:firstLine="640"/>
        <w:jc w:val="both"/>
      </w:pPr>
      <w:r>
        <w:rPr>
          <w:rFonts w:ascii="仿宋_GB2312" w:hAnsi="仿宋_GB2312" w:eastAsia="仿宋_GB2312"/>
          <w:b w:val="0"/>
          <w:sz w:val="32"/>
        </w:rPr>
        <w:t>收入支出总体与上年相比，增加26.13万元，增长29.74%，主要原因是：本年增加上阿图什市镇迪汗拉村爱国主义教育基地、松他克镇铁日斯村卫生室建设等项目经费，导致相关经费增加。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本年收入113.99万元，</w:t>
      </w:r>
      <w:r>
        <w:rPr>
          <w:rFonts w:ascii="仿宋_GB2312" w:hAnsi="仿宋_GB2312" w:eastAsia="仿宋_GB2312"/>
          <w:b w:val="0"/>
          <w:sz w:val="32"/>
        </w:rPr>
        <w:t>其中：财政拨款收入63.94万元，占56.09%；上级补助收入0.00万元，占0.00%；事业收入0.00万元，占0.00%；经营收入0.00万元，占0.00%；附属单位上缴收入0.00万元，占0.00%；其他收入50.05万元，占43.91%。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本年支出106.58万元，</w:t>
      </w:r>
      <w:r>
        <w:rPr>
          <w:rFonts w:ascii="仿宋_GB2312" w:hAnsi="仿宋_GB2312" w:eastAsia="仿宋_GB2312"/>
          <w:b w:val="0"/>
          <w:sz w:val="32"/>
        </w:rPr>
        <w:t>其中：基本支出106.58万元，占100.00%；项目支出0.00万元，占0.00%；上缴上级支出0.00万元，占0.00%；经营支出0.00万元，占0.00%；对附属单位补助支出0.00万元，占0.00%。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2024年度财政拨款收入总计63.94万元，</w:t>
      </w:r>
      <w:r>
        <w:rPr>
          <w:rFonts w:ascii="仿宋_GB2312" w:hAnsi="仿宋_GB2312" w:eastAsia="仿宋_GB2312"/>
          <w:b w:val="0"/>
          <w:sz w:val="32"/>
        </w:rPr>
        <w:t>其中：年初财政拨款结转和结余0.00万元，本年财政拨款收入63.94万元。</w:t>
      </w:r>
      <w:r>
        <w:rPr>
          <w:rFonts w:ascii="仿宋_GB2312" w:hAnsi="仿宋_GB2312" w:eastAsia="仿宋_GB2312"/>
          <w:b/>
          <w:sz w:val="32"/>
        </w:rPr>
        <w:t>财政拨款支出总计63.94万元，</w:t>
      </w:r>
      <w:r>
        <w:rPr>
          <w:rFonts w:ascii="仿宋_GB2312" w:hAnsi="仿宋_GB2312" w:eastAsia="仿宋_GB2312"/>
          <w:b w:val="0"/>
          <w:sz w:val="32"/>
        </w:rPr>
        <w:t>其中：年末财政拨款结转和结余0.00万元，本年财政拨款支出63.94万元。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减少23.92万元，下降27.23%，主要原因是：本年减少印刷费，在职人员调入调出，人员职级不同，工资基数不同，导致人员经费较上年减少，无新增退休人员，职业年金支出减少，导致相关费用减少。</w:t>
      </w:r>
      <w:r>
        <w:rPr>
          <w:rFonts w:ascii="仿宋_GB2312" w:hAnsi="仿宋_GB2312" w:eastAsia="仿宋_GB2312"/>
          <w:b/>
          <w:sz w:val="32"/>
        </w:rPr>
        <w:t>与年初预算相比，</w:t>
      </w:r>
      <w:r>
        <w:rPr>
          <w:rFonts w:ascii="仿宋_GB2312" w:hAnsi="仿宋_GB2312" w:eastAsia="仿宋_GB2312"/>
          <w:b w:val="0"/>
          <w:sz w:val="32"/>
        </w:rPr>
        <w:t>年初预算数63.44万元，决算数63.94万元，预决算差异率0.79%，主要原因是：本年在职人员增加，年中追加人员经费，导致预决算存在差异。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2024年度一般公共预算财政拨款支出63.94万元，</w:t>
      </w:r>
      <w:r>
        <w:rPr>
          <w:rFonts w:ascii="仿宋_GB2312" w:hAnsi="仿宋_GB2312" w:eastAsia="仿宋_GB2312"/>
          <w:b w:val="0"/>
          <w:sz w:val="32"/>
        </w:rPr>
        <w:t>占本年支出合计的59.99%。</w:t>
      </w:r>
      <w:r>
        <w:rPr>
          <w:rFonts w:ascii="仿宋_GB2312" w:hAnsi="仿宋_GB2312" w:eastAsia="仿宋_GB2312"/>
          <w:b/>
          <w:sz w:val="32"/>
        </w:rPr>
        <w:t>与上年相比，</w:t>
      </w:r>
      <w:r>
        <w:rPr>
          <w:rFonts w:ascii="仿宋_GB2312" w:hAnsi="仿宋_GB2312" w:eastAsia="仿宋_GB2312"/>
          <w:b w:val="0"/>
          <w:sz w:val="32"/>
        </w:rPr>
        <w:t>减少23.92万元，下降27.23%，主要原因是：本年减少印刷费，在职人员调入调出，人员职级不同，工资基数不同，导致人员经费较上年减少，无新增退休人员，职业年金支出减少，导致相关费用减少。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年初预算数63.44万元，决算数63.94万元，预决算差异率0.79%，主要原因是：本年在职人员增加，年中追加人员经费，导致预决算存在差异。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1.一般公共服务支出(类)43.13万元</w:t>
      </w:r>
      <w:r>
        <w:rPr>
          <w:rFonts w:hint="eastAsia" w:ascii="仿宋_GB2312" w:hAnsi="仿宋_GB2312" w:eastAsia="仿宋_GB2312"/>
          <w:b w:val="0"/>
          <w:sz w:val="32"/>
          <w:lang w:eastAsia="zh-CN"/>
        </w:rPr>
        <w:t>，</w:t>
      </w:r>
      <w:r>
        <w:rPr>
          <w:rFonts w:ascii="仿宋_GB2312" w:hAnsi="仿宋_GB2312" w:eastAsia="仿宋_GB2312"/>
          <w:b w:val="0"/>
          <w:sz w:val="32"/>
        </w:rPr>
        <w:t>占67.45%。</w:t>
      </w:r>
    </w:p>
    <w:p>
      <w:pPr>
        <w:spacing w:line="580" w:lineRule="exact"/>
        <w:ind w:firstLine="640"/>
        <w:jc w:val="both"/>
      </w:pPr>
      <w:r>
        <w:rPr>
          <w:rFonts w:ascii="仿宋_GB2312" w:hAnsi="仿宋_GB2312" w:eastAsia="仿宋_GB2312"/>
          <w:b w:val="0"/>
          <w:sz w:val="32"/>
        </w:rPr>
        <w:t>2.社会保障和就业支出(类)14.25万元</w:t>
      </w:r>
      <w:r>
        <w:rPr>
          <w:rFonts w:hint="eastAsia" w:ascii="仿宋_GB2312" w:hAnsi="仿宋_GB2312" w:eastAsia="仿宋_GB2312"/>
          <w:b w:val="0"/>
          <w:sz w:val="32"/>
          <w:lang w:eastAsia="zh-CN"/>
        </w:rPr>
        <w:t>，</w:t>
      </w:r>
      <w:r>
        <w:rPr>
          <w:rFonts w:ascii="仿宋_GB2312" w:hAnsi="仿宋_GB2312" w:eastAsia="仿宋_GB2312"/>
          <w:b w:val="0"/>
          <w:sz w:val="32"/>
        </w:rPr>
        <w:t>占22.29%。</w:t>
      </w:r>
    </w:p>
    <w:p>
      <w:pPr>
        <w:spacing w:line="580" w:lineRule="exact"/>
        <w:ind w:firstLine="640"/>
        <w:jc w:val="both"/>
      </w:pPr>
      <w:r>
        <w:rPr>
          <w:rFonts w:ascii="仿宋_GB2312" w:hAnsi="仿宋_GB2312" w:eastAsia="仿宋_GB2312"/>
          <w:b w:val="0"/>
          <w:sz w:val="32"/>
        </w:rPr>
        <w:t>3.卫生健康支出(类)2.11万元</w:t>
      </w:r>
      <w:r>
        <w:rPr>
          <w:rFonts w:hint="eastAsia" w:ascii="仿宋_GB2312" w:hAnsi="仿宋_GB2312" w:eastAsia="仿宋_GB2312"/>
          <w:b w:val="0"/>
          <w:sz w:val="32"/>
          <w:lang w:eastAsia="zh-CN"/>
        </w:rPr>
        <w:t>，</w:t>
      </w:r>
      <w:r>
        <w:rPr>
          <w:rFonts w:ascii="仿宋_GB2312" w:hAnsi="仿宋_GB2312" w:eastAsia="仿宋_GB2312"/>
          <w:b w:val="0"/>
          <w:sz w:val="32"/>
        </w:rPr>
        <w:t>占3.30%。</w:t>
      </w:r>
    </w:p>
    <w:p>
      <w:pPr>
        <w:spacing w:line="580" w:lineRule="exact"/>
        <w:ind w:firstLine="640"/>
        <w:jc w:val="both"/>
      </w:pPr>
      <w:r>
        <w:rPr>
          <w:rFonts w:ascii="仿宋_GB2312" w:hAnsi="仿宋_GB2312" w:eastAsia="仿宋_GB2312"/>
          <w:b w:val="0"/>
          <w:sz w:val="32"/>
        </w:rPr>
        <w:t>4.住房保障支出(类)4.46万元</w:t>
      </w:r>
      <w:r>
        <w:rPr>
          <w:rFonts w:hint="eastAsia" w:ascii="仿宋_GB2312" w:hAnsi="仿宋_GB2312" w:eastAsia="仿宋_GB2312"/>
          <w:b w:val="0"/>
          <w:sz w:val="32"/>
          <w:lang w:eastAsia="zh-CN"/>
        </w:rPr>
        <w:t>，</w:t>
      </w:r>
      <w:r>
        <w:rPr>
          <w:rFonts w:ascii="仿宋_GB2312" w:hAnsi="仿宋_GB2312" w:eastAsia="仿宋_GB2312"/>
          <w:b w:val="0"/>
          <w:sz w:val="32"/>
        </w:rPr>
        <w:t>占6.98%。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1.一般公共服务支出(类)民主党派及工商联事务(款)行政运行(项)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支出决算数为43.13万元，比上年决算减少15.09万元，下降25.92%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主要原因是：本年减少印刷费，在职人员调入调出，人员职级不同，工资基数不同，导致人员经费较上年减少。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主要原因是：本年减少津贴补贴，导致相关经费减少。</w:t>
      </w:r>
    </w:p>
    <w:p>
      <w:pPr>
        <w:spacing w:line="580" w:lineRule="exact"/>
        <w:ind w:firstLine="640"/>
        <w:jc w:val="both"/>
      </w:pPr>
      <w:r>
        <w:rPr>
          <w:rFonts w:ascii="仿宋_GB2312" w:hAnsi="仿宋_GB2312" w:eastAsia="仿宋_GB2312"/>
          <w:b w:val="0"/>
          <w:sz w:val="32"/>
        </w:rPr>
        <w:t>3.文化旅游体育与传媒支出(类)文化和旅游(款)行政运行(项)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其他社会保障缴费经费上年度在文化旅游体育与传媒支出(类)文化和旅游(款)行政运行(项)科目列支，本年调整至一般公共服务支出(类)民主党派及工商联事务(款)行政运行(项)科目列支，导致经费较上年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支出决算数为8.77万元，比上年决算增加1.66万元，增长23.35%</w:t>
      </w:r>
      <w:r>
        <w:rPr>
          <w:rFonts w:hint="eastAsia" w:ascii="仿宋_GB2312" w:hAnsi="仿宋_GB2312" w:eastAsia="仿宋_GB2312"/>
          <w:b w:val="0"/>
          <w:sz w:val="32"/>
          <w:lang w:eastAsia="zh-CN"/>
        </w:rPr>
        <w:t>，</w:t>
      </w:r>
      <w:r>
        <w:rPr>
          <w:rFonts w:ascii="仿宋_GB2312" w:hAnsi="仿宋_GB2312" w:eastAsia="仿宋_GB2312"/>
          <w:b w:val="0"/>
          <w:sz w:val="32"/>
        </w:rPr>
        <w:t>主要原因是：2023年年底新增退休干部1人，导致退休费增加。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支出决算数为5.48万元，比上年决算减少0.85万元，下降13.43%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支出决算数为0.00万元，比上年决算减少6.64万元，下降100.00%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主要原因是：本年无新增退休人员，职业年金缴费较上年减少。</w:t>
      </w:r>
    </w:p>
    <w:p>
      <w:pPr>
        <w:spacing w:line="580" w:lineRule="exact"/>
        <w:ind w:firstLine="640"/>
        <w:jc w:val="both"/>
      </w:pPr>
      <w:r>
        <w:rPr>
          <w:rFonts w:ascii="仿宋_GB2312" w:hAnsi="仿宋_GB2312" w:eastAsia="仿宋_GB2312"/>
          <w:b w:val="0"/>
          <w:sz w:val="32"/>
        </w:rPr>
        <w:t>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支出决算数为2.11万元，比上年决算减少0.47万元，下降18.22%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支出决算数为4.46万元，比上年决算减少0.97万元，下降17.86%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2024年度一般公共预算财政拨款基本支出63.94万元，其中：</w:t>
      </w:r>
      <w:r>
        <w:rPr>
          <w:rFonts w:ascii="仿宋_GB2312" w:hAnsi="仿宋_GB2312" w:eastAsia="仿宋_GB2312"/>
          <w:b/>
          <w:sz w:val="32"/>
        </w:rPr>
        <w:t>人员经费63.53万元，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公用经费0.41万元，</w:t>
      </w:r>
      <w:r>
        <w:rPr>
          <w:rFonts w:ascii="仿宋_GB2312" w:hAnsi="仿宋_GB2312" w:eastAsia="仿宋_GB2312"/>
          <w:b w:val="0"/>
          <w:sz w:val="32"/>
        </w:rPr>
        <w:t>包括：办公费、印刷费。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2024年度阿图什市工商业联合会（行政单位和参照公务员法管理事业单位）机关运行经费支出0.41万元，比上年减少4.48万元，下降91.62%，主要原因是：本年减少印刷费等经费，导致机关经费减少。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2024年度政府采购支出总额0.05万元，其中：政府采购货物支出0.00万元、政府采购工程支出0.00万元、政府采购服务支出0.05万元。</w:t>
      </w:r>
    </w:p>
    <w:p>
      <w:pPr>
        <w:spacing w:line="580" w:lineRule="exact"/>
        <w:ind w:firstLine="640"/>
        <w:jc w:val="both"/>
      </w:pPr>
      <w:r>
        <w:rPr>
          <w:rFonts w:ascii="仿宋_GB2312" w:hAnsi="仿宋_GB2312" w:eastAsia="仿宋_GB2312"/>
          <w:b w:val="0"/>
          <w:sz w:val="32"/>
        </w:rPr>
        <w:t>授予中小企业合同金额0.05万元，占政府采购支出总额的100.00%，其中：授予小微企业合同金额0.05万元，占政府采购支出总额的100.00%。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10.71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113.99万元，实际执行总额106.58万元；预算绩效评价项目0个，全年预算数0.00万元，全年执行数0.00万元。预算绩效管理取得的成效：本单位无绩效项目支出。发现的问题及原因：本单位无绩效项目支出。下一步改进措施：本单位无绩效项目支出。具体附整体支出绩效自评表</w:t>
      </w:r>
      <w:r>
        <w:rPr>
          <w:rFonts w:hint="eastAsia" w:ascii="仿宋_GB2312" w:hAnsi="仿宋_GB2312" w:eastAsia="仿宋_GB2312"/>
          <w:b w:val="0"/>
          <w:sz w:val="32"/>
          <w:lang w:eastAsia="zh-CN"/>
        </w:rPr>
        <w:t>。</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阿图什市工商业联合会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9.35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单位基本职能：1.工商业联合会是具有统战性质的人民团体和民间商会。2.配合党和政府，对人士进行团结，帮助，引导，教育工作，做好桥梁。3.在培养和发展党的组织。机构设置工商联为综合机构。 </w:t>
            </w:r>
            <w:r>
              <w:rPr>
                <w:rFonts w:ascii="宋体" w:hAnsi="宋体" w:eastAsia="宋体"/>
                <w:sz w:val="16"/>
              </w:rPr>
              <w:br w:type="textWrapping"/>
            </w:r>
            <w:r>
              <w:rPr>
                <w:rFonts w:ascii="宋体" w:hAnsi="宋体" w:eastAsia="宋体"/>
                <w:sz w:val="16"/>
              </w:rPr>
              <w:t xml:space="preserve">机构设置及人员配置：无下属预算单位，下设11个科室，编制数81，实有人数116人，在职68人，退休46人。 </w:t>
            </w:r>
            <w:r>
              <w:rPr>
                <w:rFonts w:ascii="宋体" w:hAnsi="宋体" w:eastAsia="宋体"/>
                <w:sz w:val="16"/>
              </w:rPr>
              <w:br w:type="textWrapping"/>
            </w:r>
            <w:r>
              <w:rPr>
                <w:rFonts w:ascii="宋体" w:hAnsi="宋体" w:eastAsia="宋体"/>
                <w:sz w:val="16"/>
              </w:rPr>
              <w:t xml:space="preserve">中长期规划：坚持统战性、经济性、民间性有机统一，充分发挥工商联桥梁纽带作用，努力当好政府管理非公有制经济的助手，全面贯彻“创新、协调、绿色、开放、共享”五大理念，助力乡村振兴战略实施。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106.58万元，用于保障部门在职68人，退休46人的工资福利、各项补助正常发放及部门单位正常运转，单位预算项目根据年初计划均已完成，坚持统战性、经济性、民间性有机统一，充分发挥工商联桥梁纽带作用，努力当好政府管理非公有制经济的助手，全面贯彻“创新、协调、绿色、开放、共享”五大理念，助力乡村振兴战略实施，年度任务中完成企业帮扶村数量57家，协调解决民营企业诉求12家，加大会员企业调研走访力度180家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引导民营企业覆盖率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企业帮扶村数量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协调解决民营企业诉求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加大会员企业调研走访力度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开展“万企兴万村”工作覆盖率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2224F0"/>
    <w:rsid w:val="1C317E4F"/>
    <w:rsid w:val="1C472464"/>
    <w:rsid w:val="1DAF458D"/>
    <w:rsid w:val="1E086ACE"/>
    <w:rsid w:val="1E4B5CA5"/>
    <w:rsid w:val="1EAA4A5F"/>
    <w:rsid w:val="1F587A0B"/>
    <w:rsid w:val="2064678E"/>
    <w:rsid w:val="20BC0B75"/>
    <w:rsid w:val="20DD6197"/>
    <w:rsid w:val="21F317F2"/>
    <w:rsid w:val="2241392C"/>
    <w:rsid w:val="23BC04D2"/>
    <w:rsid w:val="24E35F7D"/>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56578E"/>
    <w:rsid w:val="67D111AB"/>
    <w:rsid w:val="68DB0208"/>
    <w:rsid w:val="68DF36D5"/>
    <w:rsid w:val="69846A0E"/>
    <w:rsid w:val="69AD798C"/>
    <w:rsid w:val="6B68175F"/>
    <w:rsid w:val="6B8B5C99"/>
    <w:rsid w:val="6CA7198F"/>
    <w:rsid w:val="6D8919A8"/>
    <w:rsid w:val="6E0F7A08"/>
    <w:rsid w:val="6E801ABC"/>
    <w:rsid w:val="707D29B8"/>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7149</Words>
  <Characters>7941</Characters>
  <Lines>0</Lines>
  <Paragraphs>0</Paragraphs>
  <TotalTime>4</TotalTime>
  <ScaleCrop>false</ScaleCrop>
  <LinksUpToDate>false</LinksUpToDate>
  <CharactersWithSpaces>7955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2025-09-19T09:30:59Z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