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560" w:lineRule="exact"/>
        <w:jc w:val="center"/>
        <w:rPr>
          <w:rFonts w:hint="eastAsia" w:ascii="仿宋_GB2312" w:hAnsi="仿宋_GB2312" w:cs="仿宋_GB2312"/>
          <w:b/>
          <w:bCs/>
          <w:color w:val="auto"/>
          <w:kern w:val="0"/>
          <w:sz w:val="44"/>
          <w:szCs w:val="44"/>
          <w:highlight w:val="none"/>
        </w:rPr>
      </w:pPr>
    </w:p>
    <w:p>
      <w:pPr>
        <w:spacing w:line="560" w:lineRule="exact"/>
        <w:jc w:val="center"/>
        <w:rPr>
          <w:rFonts w:hint="eastAsia" w:ascii="仿宋_GB2312" w:hAnsi="仿宋_GB2312" w:cs="仿宋_GB2312"/>
          <w:b/>
          <w:bCs/>
          <w:color w:val="auto"/>
          <w:kern w:val="0"/>
          <w:sz w:val="44"/>
          <w:szCs w:val="44"/>
          <w:highlight w:val="none"/>
        </w:rPr>
      </w:pPr>
    </w:p>
    <w:p>
      <w:pPr>
        <w:spacing w:line="560" w:lineRule="exact"/>
        <w:jc w:val="center"/>
        <w:rPr>
          <w:rFonts w:hint="eastAsia" w:ascii="方正小标宋_GBK" w:hAnsi="黑体" w:eastAsia="方正小标宋_GBK" w:cs="仿宋_GB2312"/>
          <w:bCs/>
          <w:color w:val="auto"/>
          <w:kern w:val="0"/>
          <w:sz w:val="44"/>
          <w:szCs w:val="44"/>
          <w:highlight w:val="none"/>
          <w:lang w:eastAsia="zh-CN"/>
        </w:rPr>
      </w:pPr>
      <w:r>
        <w:rPr>
          <w:rFonts w:hint="eastAsia" w:ascii="方正小标宋_GBK" w:hAnsi="黑体" w:eastAsia="方正小标宋_GBK" w:cs="仿宋_GB2312"/>
          <w:bCs/>
          <w:color w:val="auto"/>
          <w:kern w:val="0"/>
          <w:sz w:val="44"/>
          <w:szCs w:val="44"/>
          <w:highlight w:val="none"/>
          <w:lang w:eastAsia="zh-CN"/>
        </w:rPr>
        <w:t>2024年市级、乡级河流权籍调查勘界项目</w:t>
      </w:r>
    </w:p>
    <w:p>
      <w:pPr>
        <w:spacing w:line="560" w:lineRule="exact"/>
        <w:jc w:val="center"/>
        <w:rPr>
          <w:rFonts w:hint="eastAsia" w:ascii="方正小标宋_GBK" w:hAnsi="黑体" w:eastAsia="方正小标宋_GBK" w:cs="仿宋_GB2312"/>
          <w:bCs/>
          <w:color w:val="auto"/>
          <w:kern w:val="0"/>
          <w:sz w:val="44"/>
          <w:szCs w:val="44"/>
          <w:highlight w:val="none"/>
        </w:rPr>
      </w:pPr>
      <w:r>
        <w:rPr>
          <w:rFonts w:hint="eastAsia" w:ascii="方正小标宋_GBK" w:hAnsi="黑体" w:eastAsia="方正小标宋_GBK" w:cs="仿宋_GB2312"/>
          <w:bCs/>
          <w:color w:val="auto"/>
          <w:kern w:val="0"/>
          <w:sz w:val="44"/>
          <w:szCs w:val="44"/>
          <w:highlight w:val="none"/>
        </w:rPr>
        <w:t>支出绩效评价报告</w:t>
      </w:r>
    </w:p>
    <w:p>
      <w:pPr>
        <w:spacing w:line="560" w:lineRule="exact"/>
        <w:jc w:val="center"/>
        <w:rPr>
          <w:rFonts w:hint="eastAsia" w:ascii="方正小标宋_GBK" w:hAnsi="黑体" w:eastAsia="方正小标宋_GBK" w:cs="仿宋_GB2312"/>
          <w:color w:val="auto"/>
          <w:kern w:val="0"/>
          <w:sz w:val="44"/>
          <w:szCs w:val="44"/>
          <w:highlight w:val="none"/>
        </w:rPr>
      </w:pPr>
    </w:p>
    <w:p>
      <w:pPr>
        <w:spacing w:line="560" w:lineRule="exact"/>
        <w:jc w:val="center"/>
        <w:rPr>
          <w:rFonts w:hint="eastAsia" w:ascii="方正小标宋_GBK" w:hAnsi="黑体" w:eastAsia="方正小标宋_GBK" w:cs="仿宋_GB2312"/>
          <w:bCs/>
          <w:color w:val="auto"/>
          <w:sz w:val="44"/>
          <w:szCs w:val="44"/>
          <w:highlight w:val="none"/>
        </w:rPr>
      </w:pPr>
      <w:r>
        <w:rPr>
          <w:rFonts w:hint="eastAsia" w:ascii="方正小标宋_GBK" w:hAnsi="黑体" w:eastAsia="方正小标宋_GBK" w:cs="仿宋_GB2312"/>
          <w:bCs/>
          <w:color w:val="auto"/>
          <w:sz w:val="44"/>
          <w:szCs w:val="44"/>
          <w:highlight w:val="none"/>
        </w:rPr>
        <w:t>（2024年度）</w:t>
      </w: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rPr>
          <w:rFonts w:hint="eastAsia" w:ascii="黑体" w:hAnsi="黑体" w:eastAsia="黑体" w:cs="仿宋_GB2312"/>
          <w:color w:val="auto"/>
          <w:kern w:val="0"/>
          <w:sz w:val="32"/>
          <w:szCs w:val="32"/>
          <w:highlight w:val="none"/>
        </w:rPr>
      </w:pPr>
      <w:r>
        <w:rPr>
          <w:rFonts w:hint="eastAsia" w:ascii="黑体" w:hAnsi="黑体" w:eastAsia="黑体" w:cs="仿宋_GB2312"/>
          <w:color w:val="auto"/>
          <w:kern w:val="0"/>
          <w:sz w:val="32"/>
          <w:szCs w:val="32"/>
          <w:highlight w:val="none"/>
        </w:rPr>
        <w:t>项目名称：2024年市级、乡级河流权籍调查勘界项目</w:t>
      </w:r>
    </w:p>
    <w:p>
      <w:pPr>
        <w:spacing w:line="560" w:lineRule="exact"/>
        <w:rPr>
          <w:rFonts w:hint="eastAsia" w:ascii="黑体" w:hAnsi="黑体" w:eastAsia="黑体" w:cs="仿宋_GB2312"/>
          <w:color w:val="auto"/>
          <w:kern w:val="0"/>
          <w:sz w:val="32"/>
          <w:szCs w:val="32"/>
          <w:highlight w:val="none"/>
        </w:rPr>
      </w:pPr>
    </w:p>
    <w:p>
      <w:pPr>
        <w:spacing w:line="560" w:lineRule="exact"/>
        <w:rPr>
          <w:rFonts w:hint="eastAsia" w:ascii="黑体" w:hAnsi="黑体" w:eastAsia="黑体" w:cs="仿宋_GB2312"/>
          <w:color w:val="auto"/>
          <w:kern w:val="0"/>
          <w:sz w:val="32"/>
          <w:szCs w:val="32"/>
          <w:highlight w:val="none"/>
        </w:rPr>
      </w:pPr>
      <w:r>
        <w:rPr>
          <w:rFonts w:hint="eastAsia" w:ascii="黑体" w:hAnsi="黑体" w:eastAsia="黑体" w:cs="仿宋_GB2312"/>
          <w:color w:val="auto"/>
          <w:kern w:val="0"/>
          <w:sz w:val="32"/>
          <w:szCs w:val="32"/>
          <w:highlight w:val="none"/>
        </w:rPr>
        <w:t>项目单位：阿图什市自然资源局</w:t>
      </w:r>
    </w:p>
    <w:p>
      <w:pPr>
        <w:spacing w:line="560" w:lineRule="exact"/>
        <w:rPr>
          <w:rFonts w:hint="eastAsia" w:ascii="黑体" w:hAnsi="黑体" w:eastAsia="黑体" w:cs="仿宋_GB2312"/>
          <w:color w:val="auto"/>
          <w:kern w:val="0"/>
          <w:sz w:val="32"/>
          <w:szCs w:val="32"/>
          <w:highlight w:val="none"/>
        </w:rPr>
      </w:pPr>
    </w:p>
    <w:p>
      <w:pPr>
        <w:spacing w:line="560" w:lineRule="exact"/>
        <w:rPr>
          <w:rFonts w:hint="eastAsia" w:ascii="黑体" w:hAnsi="黑体" w:eastAsia="黑体" w:cs="仿宋_GB2312"/>
          <w:color w:val="auto"/>
          <w:kern w:val="0"/>
          <w:sz w:val="32"/>
          <w:szCs w:val="32"/>
          <w:highlight w:val="none"/>
        </w:rPr>
      </w:pPr>
      <w:r>
        <w:rPr>
          <w:rFonts w:hint="eastAsia" w:ascii="黑体" w:hAnsi="黑体" w:eastAsia="黑体" w:cs="仿宋_GB2312"/>
          <w:color w:val="auto"/>
          <w:kern w:val="0"/>
          <w:sz w:val="32"/>
          <w:szCs w:val="32"/>
          <w:highlight w:val="none"/>
        </w:rPr>
        <w:t>主管部门：阿图什市自然资源局</w:t>
      </w:r>
    </w:p>
    <w:p>
      <w:pPr>
        <w:spacing w:line="560" w:lineRule="exact"/>
        <w:rPr>
          <w:rFonts w:hint="eastAsia" w:ascii="黑体" w:hAnsi="黑体" w:eastAsia="黑体" w:cs="仿宋_GB2312"/>
          <w:color w:val="auto"/>
          <w:kern w:val="0"/>
          <w:sz w:val="32"/>
          <w:szCs w:val="32"/>
          <w:highlight w:val="none"/>
        </w:rPr>
      </w:pPr>
    </w:p>
    <w:p>
      <w:pPr>
        <w:spacing w:line="560" w:lineRule="exact"/>
        <w:rPr>
          <w:rFonts w:hint="eastAsia" w:ascii="黑体" w:hAnsi="黑体" w:eastAsia="黑体" w:cs="仿宋_GB2312"/>
          <w:color w:val="auto"/>
          <w:kern w:val="0"/>
          <w:sz w:val="32"/>
          <w:szCs w:val="32"/>
          <w:highlight w:val="none"/>
        </w:rPr>
      </w:pPr>
    </w:p>
    <w:p>
      <w:pPr>
        <w:spacing w:line="560" w:lineRule="exact"/>
        <w:jc w:val="center"/>
        <w:rPr>
          <w:rFonts w:hint="eastAsia" w:ascii="黑体" w:hAnsi="黑体" w:eastAsia="黑体" w:cs="仿宋_GB2312"/>
          <w:color w:val="auto"/>
          <w:sz w:val="32"/>
          <w:szCs w:val="32"/>
          <w:highlight w:val="none"/>
        </w:rPr>
      </w:pPr>
      <w:r>
        <w:rPr>
          <w:rFonts w:hint="eastAsia" w:ascii="黑体" w:hAnsi="黑体" w:eastAsia="黑体" w:cs="仿宋_GB2312"/>
          <w:color w:val="auto"/>
          <w:sz w:val="32"/>
          <w:szCs w:val="32"/>
          <w:highlight w:val="none"/>
        </w:rPr>
        <w:t>202</w:t>
      </w:r>
      <w:r>
        <w:rPr>
          <w:rFonts w:ascii="黑体" w:hAnsi="黑体" w:eastAsia="黑体" w:cs="仿宋_GB2312"/>
          <w:color w:val="auto"/>
          <w:sz w:val="32"/>
          <w:szCs w:val="32"/>
          <w:highlight w:val="none"/>
        </w:rPr>
        <w:t>5</w:t>
      </w:r>
      <w:r>
        <w:rPr>
          <w:rFonts w:hint="eastAsia" w:ascii="黑体" w:hAnsi="黑体" w:eastAsia="黑体" w:cs="仿宋_GB2312"/>
          <w:color w:val="auto"/>
          <w:sz w:val="32"/>
          <w:szCs w:val="32"/>
          <w:highlight w:val="none"/>
        </w:rPr>
        <w:t>年</w:t>
      </w:r>
      <w:r>
        <w:rPr>
          <w:rFonts w:hint="eastAsia" w:ascii="黑体" w:hAnsi="黑体" w:eastAsia="黑体" w:cs="仿宋_GB2312"/>
          <w:color w:val="auto"/>
          <w:sz w:val="32"/>
          <w:szCs w:val="32"/>
          <w:highlight w:val="none"/>
          <w:lang w:val="en-US" w:eastAsia="zh-CN"/>
        </w:rPr>
        <w:t>4</w:t>
      </w:r>
      <w:r>
        <w:rPr>
          <w:rFonts w:hint="eastAsia" w:ascii="黑体" w:hAnsi="黑体" w:eastAsia="黑体" w:cs="仿宋_GB2312"/>
          <w:color w:val="auto"/>
          <w:sz w:val="32"/>
          <w:szCs w:val="32"/>
          <w:highlight w:val="none"/>
        </w:rPr>
        <w:t>月</w:t>
      </w:r>
      <w:r>
        <w:rPr>
          <w:rFonts w:hint="eastAsia" w:ascii="黑体" w:hAnsi="黑体" w:eastAsia="黑体" w:cs="仿宋_GB2312"/>
          <w:color w:val="auto"/>
          <w:sz w:val="32"/>
          <w:szCs w:val="32"/>
          <w:highlight w:val="none"/>
          <w:lang w:val="en-US" w:eastAsia="zh-CN"/>
        </w:rPr>
        <w:t>30</w:t>
      </w:r>
      <w:r>
        <w:rPr>
          <w:rFonts w:hint="eastAsia" w:ascii="黑体" w:hAnsi="黑体" w:eastAsia="黑体" w:cs="仿宋_GB2312"/>
          <w:color w:val="auto"/>
          <w:sz w:val="32"/>
          <w:szCs w:val="32"/>
          <w:highlight w:val="none"/>
        </w:rPr>
        <w:t>日</w:t>
      </w:r>
    </w:p>
    <w:p>
      <w:pPr>
        <w:spacing w:line="560" w:lineRule="exact"/>
        <w:rPr>
          <w:rFonts w:hint="eastAsia" w:ascii="仿宋_GB2312" w:hAnsi="仿宋_GB2312" w:cs="仿宋_GB2312"/>
          <w:color w:val="auto"/>
          <w:szCs w:val="30"/>
          <w:highlight w:val="none"/>
        </w:rPr>
      </w:pPr>
    </w:p>
    <w:p>
      <w:pPr>
        <w:spacing w:line="560" w:lineRule="exact"/>
        <w:rPr>
          <w:rFonts w:hint="eastAsia" w:ascii="仿宋_GB2312" w:hAnsi="仿宋_GB2312" w:cs="仿宋_GB2312"/>
          <w:color w:val="auto"/>
          <w:szCs w:val="30"/>
          <w:highlight w:val="none"/>
        </w:rPr>
      </w:pPr>
    </w:p>
    <w:p>
      <w:pPr>
        <w:spacing w:line="560" w:lineRule="exact"/>
        <w:rPr>
          <w:rFonts w:hint="eastAsia" w:ascii="仿宋_GB2312" w:hAnsi="仿宋_GB2312" w:cs="仿宋_GB2312"/>
          <w:color w:val="auto"/>
          <w:szCs w:val="30"/>
          <w:highlight w:val="none"/>
        </w:rPr>
      </w:pPr>
    </w:p>
    <w:p>
      <w:pPr>
        <w:spacing w:line="560" w:lineRule="exact"/>
        <w:rPr>
          <w:rFonts w:hint="eastAsia" w:ascii="仿宋_GB2312" w:hAnsi="仿宋_GB2312" w:cs="仿宋_GB2312"/>
          <w:color w:val="auto"/>
          <w:szCs w:val="30"/>
          <w:highlight w:val="none"/>
        </w:rPr>
      </w:pPr>
    </w:p>
    <w:p>
      <w:pPr>
        <w:snapToGrid w:val="0"/>
        <w:spacing w:line="560" w:lineRule="exact"/>
        <w:jc w:val="center"/>
        <w:rPr>
          <w:rFonts w:hint="eastAsia" w:ascii="方正小标宋_GBK" w:hAnsi="仿宋_GB2312" w:eastAsia="方正小标宋_GBK" w:cs="仿宋_GB2312"/>
          <w:bCs/>
          <w:color w:val="auto"/>
          <w:sz w:val="44"/>
          <w:szCs w:val="44"/>
          <w:highlight w:val="none"/>
          <w:lang w:eastAsia="zh-CN"/>
        </w:rPr>
      </w:pPr>
      <w:r>
        <w:rPr>
          <w:rFonts w:hint="eastAsia" w:ascii="方正小标宋_GBK" w:hAnsi="仿宋_GB2312" w:eastAsia="方正小标宋_GBK" w:cs="仿宋_GB2312"/>
          <w:bCs/>
          <w:color w:val="auto"/>
          <w:sz w:val="44"/>
          <w:szCs w:val="44"/>
          <w:highlight w:val="none"/>
          <w:lang w:eastAsia="zh-CN"/>
        </w:rPr>
        <w:t>2024年市级、乡级河流权籍调查勘界项目</w:t>
      </w:r>
    </w:p>
    <w:p>
      <w:pPr>
        <w:snapToGrid w:val="0"/>
        <w:spacing w:line="560" w:lineRule="exact"/>
        <w:jc w:val="center"/>
        <w:rPr>
          <w:rFonts w:hint="eastAsia" w:ascii="方正小标宋_GBK" w:hAnsi="仿宋_GB2312" w:eastAsia="方正小标宋_GBK" w:cs="仿宋_GB2312"/>
          <w:bCs/>
          <w:color w:val="auto"/>
          <w:sz w:val="44"/>
          <w:szCs w:val="44"/>
          <w:highlight w:val="none"/>
        </w:rPr>
      </w:pPr>
      <w:r>
        <w:rPr>
          <w:rFonts w:hint="eastAsia" w:ascii="方正小标宋_GBK" w:hAnsi="仿宋_GB2312" w:eastAsia="方正小标宋_GBK" w:cs="仿宋_GB2312"/>
          <w:bCs/>
          <w:color w:val="auto"/>
          <w:sz w:val="44"/>
          <w:szCs w:val="44"/>
          <w:highlight w:val="none"/>
        </w:rPr>
        <w:t>支出绩效评价报告</w:t>
      </w:r>
    </w:p>
    <w:p>
      <w:pPr>
        <w:snapToGrid w:val="0"/>
        <w:spacing w:line="560" w:lineRule="exact"/>
        <w:jc w:val="center"/>
        <w:rPr>
          <w:rFonts w:hint="eastAsia" w:ascii="仿宋_GB2312" w:hAnsi="仿宋_GB2312" w:cs="仿宋_GB2312"/>
          <w:color w:val="auto"/>
          <w:szCs w:val="30"/>
          <w:highlight w:val="none"/>
        </w:rPr>
      </w:pPr>
    </w:p>
    <w:p>
      <w:pPr>
        <w:snapToGrid w:val="0"/>
        <w:spacing w:line="560" w:lineRule="exact"/>
        <w:ind w:firstLine="640" w:firstLineChars="200"/>
        <w:rPr>
          <w:rFonts w:hint="eastAsia" w:ascii="黑体" w:hAnsi="黑体" w:eastAsia="黑体" w:cs="仿宋_GB2312"/>
          <w:bCs/>
          <w:color w:val="auto"/>
          <w:sz w:val="32"/>
          <w:szCs w:val="32"/>
          <w:highlight w:val="none"/>
        </w:rPr>
      </w:pPr>
      <w:r>
        <w:rPr>
          <w:rFonts w:hint="eastAsia" w:ascii="黑体" w:hAnsi="黑体" w:eastAsia="黑体" w:cs="仿宋_GB2312"/>
          <w:bCs/>
          <w:color w:val="auto"/>
          <w:sz w:val="32"/>
          <w:szCs w:val="32"/>
          <w:highlight w:val="none"/>
        </w:rPr>
        <w:t>一、基本情况</w:t>
      </w:r>
    </w:p>
    <w:p>
      <w:pPr>
        <w:snapToGrid w:val="0"/>
        <w:spacing w:line="560" w:lineRule="exact"/>
        <w:ind w:firstLine="643" w:firstLineChars="200"/>
        <w:outlineLvl w:val="0"/>
        <w:rPr>
          <w:rFonts w:hint="eastAsia" w:ascii="楷体" w:hAnsi="楷体" w:eastAsia="楷体" w:cs="仿宋_GB2312"/>
          <w:b/>
          <w:color w:val="auto"/>
          <w:sz w:val="32"/>
          <w:szCs w:val="32"/>
          <w:highlight w:val="none"/>
        </w:rPr>
      </w:pPr>
      <w:r>
        <w:rPr>
          <w:rFonts w:hint="eastAsia" w:ascii="楷体" w:hAnsi="楷体" w:eastAsia="楷体" w:cs="仿宋_GB2312"/>
          <w:b/>
          <w:color w:val="auto"/>
          <w:sz w:val="32"/>
          <w:szCs w:val="32"/>
          <w:highlight w:val="none"/>
        </w:rPr>
        <w:t>（一）项目概况</w:t>
      </w:r>
    </w:p>
    <w:p>
      <w:pPr>
        <w:snapToGrid w:val="0"/>
        <w:spacing w:line="560" w:lineRule="exact"/>
        <w:ind w:firstLine="803" w:firstLineChars="250"/>
        <w:outlineLvl w:val="0"/>
        <w:rPr>
          <w:rFonts w:hint="eastAsia"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1．项目背景</w:t>
      </w:r>
    </w:p>
    <w:p>
      <w:pPr>
        <w:snapToGrid w:val="0"/>
        <w:spacing w:line="560" w:lineRule="exact"/>
        <w:ind w:firstLine="800" w:firstLineChars="250"/>
        <w:outlineLvl w:val="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根据《关于申请解决阿图什市市级、乡级河流权籍调查勘界工作预算资金的报告》（阿自然资字</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rPr>
        <w:t>2022</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rPr>
        <w:t>121号）文件精神，开展河湖水域岸线和水利工程管理保护范围划界确权工作已列入国家、自治区加快推进生态文明建设。实施河湖长制基础工作</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rPr>
        <w:t xml:space="preserve">为解决河湖管护突出问题，着力构建归属清晰、权责明确、监管有效。围绕阿图什市“十四五”规划、本行业发展规划、单位职能、工作职责结合年度工作计划和业务活动进行阐述。根据阿图什市“十四五”规划及林业行业发展需要，按自治区、自治州、阿图什市委、市政府工作要求，结合本单位工作职能，按照年度工作计划，开展2024年度市级、乡级河流权籍调查勘界项目。 </w:t>
      </w:r>
    </w:p>
    <w:p>
      <w:pPr>
        <w:snapToGrid w:val="0"/>
        <w:spacing w:line="560" w:lineRule="exact"/>
        <w:ind w:firstLine="803" w:firstLineChars="250"/>
        <w:outlineLvl w:val="0"/>
        <w:rPr>
          <w:rFonts w:hint="eastAsia"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2．主要内容及实施情况</w:t>
      </w:r>
    </w:p>
    <w:p>
      <w:pPr>
        <w:snapToGrid w:val="0"/>
        <w:spacing w:line="560" w:lineRule="exact"/>
        <w:ind w:firstLine="800" w:firstLineChars="250"/>
        <w:outlineLvl w:val="0"/>
        <w:rPr>
          <w:rFonts w:hint="eastAsia" w:ascii="仿宋_GB2312" w:hAnsi="仿宋_GB2312" w:cs="仿宋_GB2312"/>
          <w:color w:val="auto"/>
          <w:sz w:val="32"/>
          <w:szCs w:val="30"/>
          <w:highlight w:val="none"/>
        </w:rPr>
      </w:pPr>
      <w:r>
        <w:rPr>
          <w:rFonts w:hint="eastAsia" w:ascii="仿宋_GB2312" w:hAnsi="仿宋_GB2312" w:cs="仿宋_GB2312"/>
          <w:color w:val="auto"/>
          <w:sz w:val="32"/>
          <w:szCs w:val="30"/>
          <w:highlight w:val="none"/>
        </w:rPr>
        <w:t>（1）主要内容</w:t>
      </w:r>
    </w:p>
    <w:p>
      <w:pPr>
        <w:snapToGrid w:val="0"/>
        <w:spacing w:line="560" w:lineRule="exact"/>
        <w:ind w:firstLine="800" w:firstLineChars="250"/>
        <w:outlineLvl w:val="0"/>
        <w:rPr>
          <w:rFonts w:hint="eastAsia" w:ascii="仿宋_GB2312" w:hAnsi="仿宋_GB2312" w:cs="仿宋_GB2312"/>
          <w:color w:val="auto"/>
          <w:sz w:val="32"/>
          <w:szCs w:val="30"/>
          <w:highlight w:val="none"/>
        </w:rPr>
      </w:pPr>
      <w:r>
        <w:rPr>
          <w:rFonts w:hint="eastAsia" w:ascii="仿宋_GB2312" w:hAnsi="仿宋_GB2312" w:cs="仿宋_GB2312"/>
          <w:color w:val="auto"/>
          <w:sz w:val="32"/>
          <w:szCs w:val="30"/>
          <w:highlight w:val="none"/>
        </w:rPr>
        <w:t>项目实施内容：</w:t>
      </w:r>
    </w:p>
    <w:p>
      <w:pPr>
        <w:snapToGrid w:val="0"/>
        <w:spacing w:line="560" w:lineRule="exact"/>
        <w:ind w:firstLine="800" w:firstLineChars="250"/>
        <w:outlineLvl w:val="0"/>
        <w:rPr>
          <w:rFonts w:hint="eastAsia" w:ascii="仿宋_GB2312" w:hAnsi="仿宋_GB2312" w:eastAsia="仿宋_GB2312" w:cs="仿宋_GB2312"/>
          <w:color w:val="auto"/>
          <w:sz w:val="32"/>
          <w:szCs w:val="30"/>
          <w:highlight w:val="none"/>
          <w:lang w:eastAsia="zh-CN"/>
        </w:rPr>
      </w:pPr>
      <w:r>
        <w:rPr>
          <w:rFonts w:hint="eastAsia" w:ascii="仿宋_GB2312" w:hAnsi="仿宋_GB2312" w:cs="仿宋_GB2312"/>
          <w:color w:val="auto"/>
          <w:sz w:val="32"/>
          <w:szCs w:val="30"/>
          <w:highlight w:val="none"/>
        </w:rPr>
        <w:t>根据《关于申请解决阿图什市市级、乡级河流权籍调查勘界工作预算资金的报告》（阿自然资字</w:t>
      </w:r>
      <w:r>
        <w:rPr>
          <w:rFonts w:hint="eastAsia" w:ascii="仿宋_GB2312" w:hAnsi="仿宋_GB2312" w:cs="仿宋_GB2312"/>
          <w:color w:val="auto"/>
          <w:sz w:val="32"/>
          <w:szCs w:val="30"/>
          <w:highlight w:val="none"/>
          <w:lang w:eastAsia="zh-CN"/>
        </w:rPr>
        <w:t>〔</w:t>
      </w:r>
      <w:r>
        <w:rPr>
          <w:rFonts w:hint="eastAsia" w:ascii="仿宋_GB2312" w:hAnsi="仿宋_GB2312" w:cs="仿宋_GB2312"/>
          <w:color w:val="auto"/>
          <w:sz w:val="32"/>
          <w:szCs w:val="30"/>
          <w:highlight w:val="none"/>
        </w:rPr>
        <w:t>2022</w:t>
      </w:r>
      <w:r>
        <w:rPr>
          <w:rFonts w:hint="eastAsia" w:ascii="仿宋_GB2312" w:hAnsi="仿宋_GB2312" w:cs="仿宋_GB2312"/>
          <w:color w:val="auto"/>
          <w:sz w:val="32"/>
          <w:szCs w:val="30"/>
          <w:highlight w:val="none"/>
          <w:lang w:eastAsia="zh-CN"/>
        </w:rPr>
        <w:t>〕</w:t>
      </w:r>
      <w:r>
        <w:rPr>
          <w:rFonts w:hint="eastAsia" w:ascii="仿宋_GB2312" w:hAnsi="仿宋_GB2312" w:cs="仿宋_GB2312"/>
          <w:color w:val="auto"/>
          <w:sz w:val="32"/>
          <w:szCs w:val="30"/>
          <w:highlight w:val="none"/>
        </w:rPr>
        <w:t>121号），安排项目资金460万元，主要用于聘请第三方服务公司1家，涉及建设项目1个；通过项目的实施，解决河湖管护突出问题，着力构建归属清晰、权责明确、监管有效的水利产权制度</w:t>
      </w:r>
      <w:r>
        <w:rPr>
          <w:rFonts w:hint="eastAsia" w:ascii="仿宋_GB2312" w:hAnsi="仿宋_GB2312" w:cs="仿宋_GB2312"/>
          <w:color w:val="auto"/>
          <w:sz w:val="32"/>
          <w:szCs w:val="30"/>
          <w:highlight w:val="none"/>
          <w:lang w:eastAsia="zh-CN"/>
        </w:rPr>
        <w:t>。</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hint="eastAsia"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（2）实施情况：</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hint="eastAsia"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实施主体：本项目的主管部门为阿图什市自然资源局,实施单位为阿图什市自然资源局，主要职责：项目实施过程中严格按照实施方案进行实施并及时进行监督管理，项目实施后进行及时验收及后期管理。</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hint="eastAsia"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实施时间：202</w:t>
      </w:r>
      <w:r>
        <w:rPr>
          <w:rFonts w:ascii="仿宋_GB2312" w:hAnsi="仿宋_GB2312" w:cs="仿宋_GB2312"/>
          <w:bCs/>
          <w:color w:val="auto"/>
          <w:sz w:val="32"/>
          <w:szCs w:val="30"/>
          <w:highlight w:val="none"/>
        </w:rPr>
        <w:t>4</w:t>
      </w:r>
      <w:r>
        <w:rPr>
          <w:rFonts w:hint="eastAsia" w:ascii="仿宋_GB2312" w:hAnsi="仿宋_GB2312" w:cs="仿宋_GB2312"/>
          <w:bCs/>
          <w:color w:val="auto"/>
          <w:sz w:val="32"/>
          <w:szCs w:val="30"/>
          <w:highlight w:val="none"/>
        </w:rPr>
        <w:t>年</w:t>
      </w:r>
      <w:r>
        <w:rPr>
          <w:rFonts w:hint="eastAsia" w:ascii="仿宋_GB2312" w:hAnsi="仿宋_GB2312" w:cs="仿宋_GB2312"/>
          <w:bCs/>
          <w:color w:val="auto"/>
          <w:sz w:val="32"/>
          <w:szCs w:val="30"/>
          <w:highlight w:val="none"/>
          <w:lang w:val="en-US" w:eastAsia="zh-CN"/>
        </w:rPr>
        <w:t>1</w:t>
      </w:r>
      <w:r>
        <w:rPr>
          <w:rFonts w:hint="eastAsia" w:ascii="仿宋_GB2312" w:hAnsi="仿宋_GB2312" w:cs="仿宋_GB2312"/>
          <w:bCs/>
          <w:color w:val="auto"/>
          <w:sz w:val="32"/>
          <w:szCs w:val="30"/>
          <w:highlight w:val="none"/>
        </w:rPr>
        <w:t>月-</w:t>
      </w:r>
      <w:r>
        <w:rPr>
          <w:rFonts w:hint="eastAsia" w:ascii="仿宋_GB2312" w:hAnsi="仿宋_GB2312" w:cs="仿宋_GB2312"/>
          <w:bCs/>
          <w:color w:val="auto"/>
          <w:sz w:val="32"/>
          <w:szCs w:val="30"/>
          <w:highlight w:val="none"/>
          <w:lang w:val="en-US" w:eastAsia="zh-CN"/>
        </w:rPr>
        <w:t>12</w:t>
      </w:r>
      <w:r>
        <w:rPr>
          <w:rFonts w:hint="eastAsia" w:ascii="仿宋_GB2312" w:hAnsi="仿宋_GB2312" w:cs="仿宋_GB2312"/>
          <w:bCs/>
          <w:color w:val="auto"/>
          <w:sz w:val="32"/>
          <w:szCs w:val="30"/>
          <w:highlight w:val="none"/>
        </w:rPr>
        <w:t>月</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hint="eastAsia"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实施结果：</w:t>
      </w:r>
      <w:r>
        <w:rPr>
          <w:rFonts w:hint="eastAsia" w:ascii="仿宋_GB2312"/>
          <w:color w:val="auto"/>
          <w:sz w:val="32"/>
          <w:szCs w:val="32"/>
          <w:highlight w:val="none"/>
        </w:rPr>
        <w:t>项目实施前进行充分调研，并制定项目实施方案，项目实施过程中严格按照实施方案进行实施并及时进行监督管理，项目实施后进行及时验收及后期维护</w:t>
      </w:r>
      <w:r>
        <w:rPr>
          <w:rFonts w:hint="eastAsia" w:ascii="仿宋_GB2312" w:hAnsi="仿宋_GB2312" w:cs="仿宋_GB2312"/>
          <w:bCs/>
          <w:color w:val="auto"/>
          <w:sz w:val="32"/>
          <w:szCs w:val="30"/>
          <w:highlight w:val="none"/>
        </w:rPr>
        <w:t>。</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hint="eastAsia"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3．资金投入和使用情况</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780" w:firstLineChars="250"/>
        <w:jc w:val="left"/>
        <w:rPr>
          <w:rStyle w:val="13"/>
          <w:rFonts w:hint="eastAsia" w:ascii="仿宋_GB2312" w:hAnsi="仿宋_GB2312" w:cs="仿宋_GB2312"/>
          <w:b w:val="0"/>
          <w:bCs w:val="0"/>
          <w:color w:val="auto"/>
          <w:spacing w:val="-4"/>
          <w:sz w:val="32"/>
          <w:szCs w:val="30"/>
          <w:highlight w:val="none"/>
        </w:rPr>
      </w:pPr>
      <w:r>
        <w:rPr>
          <w:rStyle w:val="13"/>
          <w:rFonts w:hint="eastAsia" w:ascii="仿宋_GB2312" w:hAnsi="仿宋_GB2312" w:cs="仿宋_GB2312"/>
          <w:b w:val="0"/>
          <w:bCs w:val="0"/>
          <w:color w:val="auto"/>
          <w:spacing w:val="-4"/>
          <w:sz w:val="32"/>
          <w:szCs w:val="30"/>
          <w:highlight w:val="none"/>
        </w:rPr>
        <w:t>资金投入情况：本项目总投资</w:t>
      </w:r>
      <w:r>
        <w:rPr>
          <w:rStyle w:val="13"/>
          <w:rFonts w:hint="eastAsia" w:ascii="仿宋_GB2312" w:hAnsi="仿宋_GB2312" w:cs="仿宋_GB2312"/>
          <w:b w:val="0"/>
          <w:bCs w:val="0"/>
          <w:color w:val="auto"/>
          <w:spacing w:val="-4"/>
          <w:sz w:val="32"/>
          <w:szCs w:val="30"/>
          <w:highlight w:val="none"/>
          <w:lang w:val="en-US" w:eastAsia="zh-CN"/>
        </w:rPr>
        <w:t>460</w:t>
      </w:r>
      <w:r>
        <w:rPr>
          <w:rStyle w:val="13"/>
          <w:rFonts w:hint="eastAsia" w:ascii="仿宋_GB2312" w:hAnsi="仿宋_GB2312" w:cs="仿宋_GB2312"/>
          <w:b w:val="0"/>
          <w:bCs w:val="0"/>
          <w:color w:val="auto"/>
          <w:spacing w:val="-4"/>
          <w:sz w:val="32"/>
          <w:szCs w:val="30"/>
          <w:highlight w:val="none"/>
        </w:rPr>
        <w:t>万元，资金来源为本级部门预算资金。</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780" w:firstLineChars="250"/>
        <w:jc w:val="left"/>
        <w:rPr>
          <w:rStyle w:val="13"/>
          <w:rFonts w:hint="eastAsia" w:ascii="仿宋_GB2312" w:hAnsi="仿宋_GB2312" w:cs="仿宋_GB2312"/>
          <w:b w:val="0"/>
          <w:color w:val="auto"/>
          <w:spacing w:val="-4"/>
          <w:sz w:val="32"/>
          <w:szCs w:val="30"/>
          <w:highlight w:val="none"/>
        </w:rPr>
      </w:pPr>
      <w:r>
        <w:rPr>
          <w:rStyle w:val="13"/>
          <w:rFonts w:hint="eastAsia" w:ascii="仿宋_GB2312" w:hAnsi="仿宋_GB2312" w:cs="仿宋_GB2312"/>
          <w:b w:val="0"/>
          <w:color w:val="auto"/>
          <w:spacing w:val="-4"/>
          <w:sz w:val="32"/>
          <w:szCs w:val="30"/>
          <w:highlight w:val="none"/>
        </w:rPr>
        <w:t>资金使用情况：根据项目实施情况，项目资金实际支付</w:t>
      </w:r>
      <w:r>
        <w:rPr>
          <w:rStyle w:val="13"/>
          <w:rFonts w:hint="eastAsia" w:ascii="仿宋_GB2312" w:hAnsi="仿宋_GB2312" w:cs="仿宋_GB2312"/>
          <w:b w:val="0"/>
          <w:color w:val="auto"/>
          <w:spacing w:val="-4"/>
          <w:sz w:val="32"/>
          <w:szCs w:val="30"/>
          <w:highlight w:val="none"/>
          <w:lang w:val="en-US" w:eastAsia="zh-CN"/>
        </w:rPr>
        <w:t>45.74</w:t>
      </w:r>
      <w:r>
        <w:rPr>
          <w:rStyle w:val="13"/>
          <w:rFonts w:hint="eastAsia" w:ascii="仿宋_GB2312" w:hAnsi="仿宋_GB2312" w:cs="仿宋_GB2312"/>
          <w:b w:val="0"/>
          <w:color w:val="auto"/>
          <w:spacing w:val="-4"/>
          <w:sz w:val="32"/>
          <w:szCs w:val="30"/>
          <w:highlight w:val="none"/>
        </w:rPr>
        <w:t>万元，资金执行率达到</w:t>
      </w:r>
      <w:r>
        <w:rPr>
          <w:rStyle w:val="13"/>
          <w:rFonts w:hint="eastAsia" w:ascii="仿宋_GB2312" w:hAnsi="仿宋_GB2312" w:cs="仿宋_GB2312"/>
          <w:b w:val="0"/>
          <w:color w:val="auto"/>
          <w:spacing w:val="-4"/>
          <w:sz w:val="32"/>
          <w:szCs w:val="30"/>
          <w:highlight w:val="none"/>
          <w:lang w:val="en-US" w:eastAsia="zh-CN"/>
        </w:rPr>
        <w:t>9.9</w:t>
      </w:r>
      <w:r>
        <w:rPr>
          <w:rStyle w:val="13"/>
          <w:rFonts w:hint="eastAsia" w:ascii="仿宋_GB2312" w:hAnsi="仿宋_GB2312" w:cs="仿宋_GB2312"/>
          <w:b w:val="0"/>
          <w:color w:val="auto"/>
          <w:spacing w:val="-4"/>
          <w:sz w:val="32"/>
          <w:szCs w:val="30"/>
          <w:highlight w:val="none"/>
        </w:rPr>
        <w:t>%。具体使用情况如下：</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780" w:firstLineChars="250"/>
        <w:jc w:val="left"/>
        <w:rPr>
          <w:rStyle w:val="13"/>
          <w:rFonts w:hint="default" w:ascii="仿宋_GB2312" w:eastAsia="仿宋_GB2312"/>
          <w:b w:val="0"/>
          <w:color w:val="auto"/>
          <w:spacing w:val="-4"/>
          <w:sz w:val="32"/>
          <w:highlight w:val="none"/>
          <w:lang w:val="en-US" w:eastAsia="zh-CN"/>
        </w:rPr>
      </w:pPr>
      <w:r>
        <w:rPr>
          <w:rStyle w:val="13"/>
          <w:rFonts w:hint="eastAsia" w:ascii="仿宋_GB2312"/>
          <w:b w:val="0"/>
          <w:color w:val="auto"/>
          <w:spacing w:val="-4"/>
          <w:sz w:val="32"/>
          <w:highlight w:val="none"/>
        </w:rPr>
        <w:t>市级、乡级河流权籍调查勘界</w:t>
      </w:r>
      <w:r>
        <w:rPr>
          <w:rStyle w:val="13"/>
          <w:rFonts w:hint="eastAsia" w:ascii="仿宋_GB2312"/>
          <w:b w:val="0"/>
          <w:color w:val="auto"/>
          <w:spacing w:val="-4"/>
          <w:sz w:val="32"/>
          <w:highlight w:val="none"/>
          <w:lang w:val="en-US" w:eastAsia="zh-CN"/>
        </w:rPr>
        <w:t>成本：45.74万元</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3" w:firstLineChars="250"/>
        <w:jc w:val="left"/>
        <w:rPr>
          <w:rFonts w:hint="eastAsia" w:ascii="楷体" w:hAnsi="楷体" w:eastAsia="楷体" w:cs="仿宋_GB2312"/>
          <w:b/>
          <w:color w:val="auto"/>
          <w:sz w:val="32"/>
          <w:szCs w:val="32"/>
          <w:highlight w:val="none"/>
        </w:rPr>
      </w:pPr>
      <w:r>
        <w:rPr>
          <w:rFonts w:hint="eastAsia" w:ascii="楷体" w:hAnsi="楷体" w:eastAsia="楷体" w:cs="仿宋_GB2312"/>
          <w:b/>
          <w:color w:val="auto"/>
          <w:sz w:val="32"/>
          <w:szCs w:val="32"/>
          <w:highlight w:val="none"/>
        </w:rPr>
        <w:t>（二）项目绩效目标</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contextualSpacing/>
        <w:rPr>
          <w:rFonts w:hint="eastAsia" w:ascii="仿宋_GB2312" w:hAnsi="仿宋" w:cs="宋体"/>
          <w:color w:val="auto"/>
          <w:sz w:val="32"/>
          <w:szCs w:val="32"/>
          <w:highlight w:val="none"/>
        </w:rPr>
      </w:pPr>
      <w:r>
        <w:rPr>
          <w:rFonts w:hint="eastAsia" w:ascii="仿宋_GB2312" w:hAnsi="仿宋_GB2312" w:cs="仿宋_GB2312"/>
          <w:color w:val="auto"/>
          <w:sz w:val="32"/>
          <w:highlight w:val="none"/>
        </w:rPr>
        <w:t>年度总体目标为：根据《关于申请解决阿图什市市级、乡级河流权籍调查勘界工作预算资金的报告》（阿自然资字</w:t>
      </w:r>
      <w:r>
        <w:rPr>
          <w:rFonts w:hint="eastAsia" w:ascii="仿宋_GB2312" w:hAnsi="仿宋_GB2312" w:cs="仿宋_GB2312"/>
          <w:color w:val="auto"/>
          <w:sz w:val="32"/>
          <w:highlight w:val="none"/>
          <w:lang w:eastAsia="zh-CN"/>
        </w:rPr>
        <w:t>〔</w:t>
      </w:r>
      <w:r>
        <w:rPr>
          <w:rFonts w:hint="eastAsia" w:ascii="仿宋_GB2312" w:hAnsi="仿宋_GB2312" w:cs="仿宋_GB2312"/>
          <w:color w:val="auto"/>
          <w:sz w:val="32"/>
          <w:highlight w:val="none"/>
        </w:rPr>
        <w:t>2022</w:t>
      </w:r>
      <w:r>
        <w:rPr>
          <w:rFonts w:hint="eastAsia" w:ascii="仿宋_GB2312" w:hAnsi="仿宋_GB2312" w:cs="仿宋_GB2312"/>
          <w:color w:val="auto"/>
          <w:sz w:val="32"/>
          <w:highlight w:val="none"/>
          <w:lang w:eastAsia="zh-CN"/>
        </w:rPr>
        <w:t>〕</w:t>
      </w:r>
      <w:r>
        <w:rPr>
          <w:rFonts w:hint="eastAsia" w:ascii="仿宋_GB2312" w:hAnsi="仿宋_GB2312" w:cs="仿宋_GB2312"/>
          <w:color w:val="auto"/>
          <w:sz w:val="32"/>
          <w:highlight w:val="none"/>
        </w:rPr>
        <w:t>121号），安排项目资金460万元，主要用于聘请第三方服务公司1家，涉及建设项目1个；通过项目的实施，解决河湖管护突出问题，着力构建归属清晰、权责明确、监管有效的水利产权制度。</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黑体" w:hAnsi="黑体" w:eastAsia="黑体" w:cs="仿宋_GB2312"/>
          <w:bCs/>
          <w:color w:val="auto"/>
          <w:sz w:val="32"/>
          <w:highlight w:val="none"/>
        </w:rPr>
      </w:pPr>
      <w:r>
        <w:rPr>
          <w:rFonts w:hint="eastAsia" w:ascii="黑体" w:hAnsi="黑体" w:eastAsia="黑体" w:cs="仿宋_GB2312"/>
          <w:bCs/>
          <w:color w:val="auto"/>
          <w:sz w:val="32"/>
          <w:highlight w:val="none"/>
        </w:rPr>
        <w:t>二、绩效评价工作开展情况</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3" w:firstLineChars="200"/>
        <w:rPr>
          <w:rFonts w:hint="eastAsia" w:ascii="楷体" w:hAnsi="楷体" w:eastAsia="楷体" w:cs="仿宋_GB2312"/>
          <w:b/>
          <w:color w:val="auto"/>
          <w:sz w:val="32"/>
          <w:szCs w:val="32"/>
          <w:highlight w:val="none"/>
        </w:rPr>
      </w:pPr>
      <w:r>
        <w:rPr>
          <w:rFonts w:hint="eastAsia" w:ascii="楷体" w:hAnsi="楷体" w:eastAsia="楷体" w:cs="仿宋_GB2312"/>
          <w:b/>
          <w:color w:val="auto"/>
          <w:sz w:val="32"/>
          <w:szCs w:val="32"/>
          <w:highlight w:val="none"/>
        </w:rPr>
        <w:t>（一）绩效评价目的、对象和范围</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 w:cs="宋体"/>
          <w:b/>
          <w:color w:val="auto"/>
          <w:sz w:val="32"/>
          <w:szCs w:val="32"/>
          <w:highlight w:val="none"/>
        </w:rPr>
      </w:pPr>
      <w:r>
        <w:rPr>
          <w:rFonts w:hint="eastAsia" w:ascii="仿宋_GB2312" w:hAnsi="仿宋" w:cs="宋体"/>
          <w:b/>
          <w:color w:val="auto"/>
          <w:sz w:val="32"/>
          <w:szCs w:val="32"/>
          <w:highlight w:val="none"/>
        </w:rPr>
        <w:t>1．绩效评价目的</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本次绩效评价遵循财政部《项目支出绩效评价管理办法》（财预〔2020〕10号）和自治区财政厅</w:t>
      </w:r>
      <w:r>
        <w:rPr>
          <w:rFonts w:hint="eastAsia" w:ascii="仿宋_GB2312" w:hAnsi="仿宋_GB2312" w:cs="仿宋_GB2312"/>
          <w:color w:val="auto"/>
          <w:kern w:val="0"/>
          <w:sz w:val="32"/>
          <w:szCs w:val="32"/>
          <w:highlight w:val="none"/>
          <w:shd w:val="clear" w:color="auto" w:fill="FFFFFF"/>
        </w:rPr>
        <w:t>《自治区财政支出绩效评价管理暂行办法》（新财预〔2018〕189号）</w:t>
      </w:r>
      <w:r>
        <w:rPr>
          <w:rFonts w:hint="eastAsia" w:ascii="仿宋_GB2312" w:hAnsi="仿宋_GB2312" w:cs="仿宋_GB2312"/>
          <w:color w:val="auto"/>
          <w:sz w:val="32"/>
          <w:szCs w:val="32"/>
          <w:highlight w:val="none"/>
        </w:rPr>
        <w:t>等相关政策文件</w:t>
      </w:r>
      <w:r>
        <w:rPr>
          <w:rFonts w:hint="eastAsia" w:ascii="仿宋_GB2312" w:hAnsi="仿宋_GB2312" w:cs="仿宋_GB2312"/>
          <w:color w:val="auto"/>
          <w:sz w:val="32"/>
          <w:szCs w:val="32"/>
          <w:highlight w:val="none"/>
          <w:lang w:eastAsia="zh-CN"/>
        </w:rPr>
        <w:t>和</w:t>
      </w:r>
      <w:r>
        <w:rPr>
          <w:rFonts w:hint="eastAsia" w:ascii="仿宋_GB2312" w:hAnsi="仿宋_GB2312" w:cs="仿宋_GB2312"/>
          <w:color w:val="auto"/>
          <w:sz w:val="32"/>
          <w:szCs w:val="32"/>
          <w:highlight w:val="none"/>
        </w:rPr>
        <w:t>规定，绩效评价旨在评价本项目前期审批、实施过程及实施效果，促进预算管理不断完善，加快绩效目标的实现，保证财政资金有效、合理使用，具体绩效评价的目的细分如下：</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 w:cs="宋体"/>
          <w:b/>
          <w:color w:val="auto"/>
          <w:sz w:val="32"/>
          <w:szCs w:val="32"/>
          <w:highlight w:val="none"/>
        </w:rPr>
      </w:pPr>
      <w:r>
        <w:rPr>
          <w:rFonts w:hint="eastAsia" w:ascii="仿宋_GB2312" w:hAnsi="仿宋" w:cs="宋体"/>
          <w:b/>
          <w:color w:val="auto"/>
          <w:sz w:val="32"/>
          <w:szCs w:val="32"/>
          <w:highlight w:val="none"/>
        </w:rPr>
        <w:t>2．绩效评价对象</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对</w:t>
      </w:r>
      <w:r>
        <w:rPr>
          <w:rFonts w:hint="eastAsia" w:ascii="仿宋_GB2312" w:hAnsi="仿宋_GB2312" w:cs="仿宋_GB2312"/>
          <w:color w:val="auto"/>
          <w:sz w:val="32"/>
          <w:szCs w:val="32"/>
          <w:highlight w:val="none"/>
          <w:lang w:eastAsia="zh-CN"/>
        </w:rPr>
        <w:t>2024年市级、乡级河流权籍调查勘界项目</w:t>
      </w:r>
      <w:r>
        <w:rPr>
          <w:rFonts w:hint="eastAsia" w:ascii="仿宋_GB2312" w:hAnsi="仿宋_GB2312" w:cs="仿宋_GB2312"/>
          <w:color w:val="auto"/>
          <w:sz w:val="32"/>
          <w:szCs w:val="32"/>
          <w:highlight w:val="none"/>
        </w:rPr>
        <w:t>从预算编制合理性、资金使用合规性、项目管理的规范性、实施情况、总体绩效目标、各项绩效指标完成情况以及预算执行情况进行科学性评价。</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 w:cs="宋体"/>
          <w:b/>
          <w:color w:val="auto"/>
          <w:sz w:val="32"/>
          <w:szCs w:val="32"/>
          <w:highlight w:val="none"/>
        </w:rPr>
      </w:pPr>
      <w:r>
        <w:rPr>
          <w:rFonts w:hint="eastAsia" w:ascii="仿宋_GB2312" w:hAnsi="仿宋" w:cs="宋体"/>
          <w:b/>
          <w:color w:val="auto"/>
          <w:sz w:val="32"/>
          <w:szCs w:val="32"/>
          <w:highlight w:val="none"/>
        </w:rPr>
        <w:t>3．绩效评价范围</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本次评价从项目决策（包括绩效目标、决策过程）、项目管理（包括项目资金、项目实施）、项目产出（包括项目产出数量、产出质量、产出时效和产出成本）项目效益四个维度进行评价。</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楷体" w:hAnsi="楷体" w:eastAsia="楷体" w:cs="仿宋_GB2312"/>
          <w:b/>
          <w:color w:val="auto"/>
          <w:sz w:val="32"/>
          <w:highlight w:val="none"/>
        </w:rPr>
      </w:pPr>
      <w:r>
        <w:rPr>
          <w:rFonts w:hint="eastAsia" w:ascii="楷体" w:hAnsi="楷体" w:eastAsia="楷体" w:cs="仿宋_GB2312"/>
          <w:b/>
          <w:color w:val="auto"/>
          <w:sz w:val="32"/>
          <w:highlight w:val="none"/>
        </w:rPr>
        <w:t>（二）绩效评价原则、评价指标体系（附表说明）、评价方法、评价标准等。</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_GB2312" w:cs="仿宋_GB2312"/>
          <w:b/>
          <w:color w:val="auto"/>
          <w:sz w:val="32"/>
          <w:highlight w:val="none"/>
        </w:rPr>
      </w:pPr>
      <w:r>
        <w:rPr>
          <w:rFonts w:hint="eastAsia" w:ascii="仿宋_GB2312" w:hAnsi="仿宋" w:cs="宋体"/>
          <w:b/>
          <w:color w:val="auto"/>
          <w:sz w:val="32"/>
          <w:szCs w:val="32"/>
          <w:highlight w:val="none"/>
        </w:rPr>
        <w:t>1．</w:t>
      </w:r>
      <w:r>
        <w:rPr>
          <w:rFonts w:hint="eastAsia" w:ascii="仿宋_GB2312" w:hAnsi="仿宋_GB2312" w:cs="仿宋_GB2312"/>
          <w:b/>
          <w:color w:val="auto"/>
          <w:sz w:val="32"/>
          <w:highlight w:val="none"/>
        </w:rPr>
        <w:t xml:space="preserve">绩效评价原则 </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（1）科学公正。绩效评价应当运用科学合理的方法，按照规范的程序，对项目绩效进行客观、公正的反映。</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（3）激励约束。绩效评价结果</w:t>
      </w:r>
      <w:r>
        <w:rPr>
          <w:rFonts w:hint="eastAsia" w:ascii="仿宋_GB2312" w:hAnsi="仿宋_GB2312" w:cs="仿宋_GB2312"/>
          <w:color w:val="auto"/>
          <w:sz w:val="32"/>
          <w:highlight w:val="none"/>
          <w:lang w:eastAsia="zh-CN"/>
        </w:rPr>
        <w:t>应用、</w:t>
      </w:r>
      <w:r>
        <w:rPr>
          <w:rFonts w:hint="eastAsia" w:ascii="仿宋_GB2312" w:hAnsi="仿宋_GB2312" w:cs="仿宋_GB2312"/>
          <w:color w:val="auto"/>
          <w:sz w:val="32"/>
          <w:highlight w:val="none"/>
        </w:rPr>
        <w:t>预算安排、政策调整、改进管理实质性挂钩，体现奖优罚劣和激励导向，有效要安排、低效要压减、无效要问责。</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（4）公开透明。绩效评价结果应依法依规公开，并自觉接受社会监督。</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_GB2312" w:cs="仿宋_GB2312"/>
          <w:b/>
          <w:bCs/>
          <w:color w:val="auto"/>
          <w:sz w:val="32"/>
          <w:highlight w:val="none"/>
        </w:rPr>
      </w:pPr>
      <w:r>
        <w:rPr>
          <w:rFonts w:hint="eastAsia" w:ascii="仿宋_GB2312" w:hAnsi="仿宋_GB2312" w:cs="仿宋_GB2312"/>
          <w:b/>
          <w:bCs/>
          <w:color w:val="auto"/>
          <w:sz w:val="32"/>
          <w:highlight w:val="none"/>
        </w:rPr>
        <w:t>2．绩效评价指标体系</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在对</w:t>
      </w:r>
      <w:r>
        <w:rPr>
          <w:rFonts w:hint="eastAsia" w:ascii="仿宋_GB2312" w:hAnsi="仿宋_GB2312" w:cs="仿宋_GB2312"/>
          <w:color w:val="auto"/>
          <w:sz w:val="32"/>
          <w:highlight w:val="none"/>
          <w:lang w:eastAsia="zh-CN"/>
        </w:rPr>
        <w:t>2024年市级、乡级河流权籍调查勘界项目</w:t>
      </w:r>
      <w:r>
        <w:rPr>
          <w:rFonts w:hint="eastAsia" w:ascii="仿宋_GB2312" w:hAnsi="仿宋_GB2312" w:cs="仿宋_GB2312"/>
          <w:color w:val="auto"/>
          <w:sz w:val="32"/>
          <w:highlight w:val="none"/>
        </w:rPr>
        <w:t>的深入调研基础上，按照《项目支出绩效评价管理办法》（财预〔2021〕10号）对于指标体系的要求和规范，建立一套适合评价</w:t>
      </w:r>
      <w:r>
        <w:rPr>
          <w:rFonts w:hint="eastAsia" w:ascii="仿宋_GB2312" w:hAnsi="仿宋_GB2312" w:cs="仿宋_GB2312"/>
          <w:color w:val="auto"/>
          <w:sz w:val="32"/>
          <w:highlight w:val="none"/>
          <w:lang w:eastAsia="zh-CN"/>
        </w:rPr>
        <w:t>2024年市级、乡级河流权籍调查勘界项目</w:t>
      </w:r>
      <w:r>
        <w:rPr>
          <w:rFonts w:hint="eastAsia" w:ascii="仿宋_GB2312" w:hAnsi="仿宋_GB2312" w:cs="仿宋_GB2312"/>
          <w:color w:val="auto"/>
          <w:sz w:val="32"/>
          <w:highlight w:val="none"/>
        </w:rPr>
        <w:t>的指标体系，从项目决策、项目过程、项目产出和项目绩效四个维度全面考察</w:t>
      </w:r>
      <w:r>
        <w:rPr>
          <w:rFonts w:hint="eastAsia" w:ascii="仿宋_GB2312" w:hAnsi="仿宋_GB2312" w:cs="仿宋_GB2312"/>
          <w:color w:val="auto"/>
          <w:sz w:val="32"/>
          <w:highlight w:val="none"/>
          <w:lang w:eastAsia="zh-CN"/>
        </w:rPr>
        <w:t>2024年市级、乡级河流权籍调查勘界项目</w:t>
      </w:r>
      <w:r>
        <w:rPr>
          <w:rFonts w:hint="eastAsia" w:ascii="仿宋_GB2312" w:hAnsi="仿宋_GB2312" w:cs="仿宋_GB2312"/>
          <w:color w:val="auto"/>
          <w:sz w:val="32"/>
          <w:highlight w:val="none"/>
        </w:rPr>
        <w:t>资金的效益，并重点对于项目的产出和绩效进行总体分析，以达到通过指标体系的科学评价反思管理及决策问题的目标。（见附件1）</w:t>
      </w:r>
    </w:p>
    <w:p>
      <w:pPr>
        <w:numPr>
          <w:ilvl w:val="0"/>
          <w:numId w:val="2"/>
        </w:num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
          <w:color w:val="auto"/>
          <w:sz w:val="32"/>
          <w:szCs w:val="32"/>
          <w:highlight w:val="none"/>
        </w:rPr>
      </w:pPr>
      <w:r>
        <w:rPr>
          <w:rFonts w:hint="eastAsia" w:ascii="仿宋_GB2312" w:hAnsi="仿宋_GB2312" w:cs="仿宋_GB2312"/>
          <w:b/>
          <w:bCs/>
          <w:color w:val="auto"/>
          <w:sz w:val="32"/>
          <w:highlight w:val="none"/>
        </w:rPr>
        <w:t>绩效评价方法</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三级指标分析环节：总体采用比较法，同时辅以文献法、成本效益法、因素分析法以及公众评判法，根据不同三级指标类型进行逐项分析。</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①定量指标分析环节：主要采用对比三级指标预期指标值和三级指标截止评价日的完成情况，综合分析绩效目标实现程度。将实际完成值</w:t>
      </w:r>
      <w:r>
        <w:rPr>
          <w:rFonts w:hint="eastAsia" w:ascii="仿宋_GB2312" w:hAnsi="仿宋_GB2312" w:cs="仿宋_GB2312"/>
          <w:color w:val="auto"/>
          <w:sz w:val="32"/>
          <w:highlight w:val="none"/>
          <w:lang w:eastAsia="zh-CN"/>
        </w:rPr>
        <w:t>和</w:t>
      </w:r>
      <w:r>
        <w:rPr>
          <w:rFonts w:hint="eastAsia" w:ascii="仿宋_GB2312" w:hAnsi="仿宋_GB2312" w:cs="仿宋_GB2312"/>
          <w:color w:val="auto"/>
          <w:sz w:val="32"/>
          <w:highlight w:val="none"/>
        </w:rPr>
        <w:t>年初指标值相比，完成指标值的，该指标所赋全部分值；对完成值高于指标值较多的，要分析原因，如果是由于年初指标值设定明显偏低造成的，要按照偏离度适度调减分值；未完成指标值的，按照完成值与指标值的比例记分。</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eastAsia="仿宋_GB2312" w:cs="仿宋_GB2312"/>
          <w:color w:val="auto"/>
          <w:sz w:val="32"/>
          <w:highlight w:val="none"/>
          <w:lang w:eastAsia="zh-CN"/>
        </w:rPr>
      </w:pPr>
      <w:r>
        <w:rPr>
          <w:rFonts w:hint="eastAsia" w:ascii="仿宋_GB2312" w:hAnsi="仿宋_GB2312" w:cs="仿宋_GB2312"/>
          <w:color w:val="auto"/>
          <w:sz w:val="32"/>
          <w:highlight w:val="none"/>
        </w:rPr>
        <w:t>②定性指标分析环节：主要采用公众评判法，通过问卷及抽样调查等方式评价本项目实施后社会公众对于其实施效果的满意程度，将调研结果按照《项目支出绩效评价管理办法》（财预〔2020〕10号）《自治区项目支出绩效目标设置指引》（新财预〔2022〕42号）文要求分为基本达成目标、部分实现目标、实现目标程度较低三个档次，并分别按照该指标对应分值区间100%-80%(含)、80%-60%(含)、60%-0%合理确定分值，详细评价方法的应用如下</w:t>
      </w:r>
      <w:r>
        <w:rPr>
          <w:rFonts w:hint="eastAsia" w:ascii="仿宋_GB2312" w:hAnsi="仿宋_GB2312" w:cs="仿宋_GB2312"/>
          <w:color w:val="auto"/>
          <w:sz w:val="32"/>
          <w:highlight w:val="none"/>
          <w:lang w:eastAsia="zh-CN"/>
        </w:rPr>
        <w:t>：</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立项依据充分性：比较法、文献法，查找法律法规政策以及规划，对比实际执行内容和政策支持内容是否匹配。</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立项程序规范性：比较法、文献法，查找相关项目设立的政策和文件要求，对比分析实际执行程序是否按照政策及文件要求执行，分析立项程序的规范性。</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绩效目标合理性：比较法，对比分析年初编制项目支出绩效目标表与项目内容的相关性、资金的匹配性等。</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绩效指标明确性：比较法，比较分析年初编制项目支出绩效目标表是否符合双七原则，是否可衡量。</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预算编制科学性</w:t>
      </w:r>
      <w:r>
        <w:rPr>
          <w:rFonts w:hint="eastAsia" w:ascii="仿宋_GB2312" w:hAnsi="仿宋_GB2312" w:cs="仿宋_GB2312"/>
          <w:color w:val="auto"/>
          <w:sz w:val="32"/>
          <w:highlight w:val="none"/>
          <w:lang w:eastAsia="zh-CN"/>
        </w:rPr>
        <w:t>、</w:t>
      </w:r>
      <w:r>
        <w:rPr>
          <w:rFonts w:hint="eastAsia" w:ascii="仿宋_GB2312" w:hAnsi="仿宋_GB2312" w:cs="仿宋_GB2312"/>
          <w:color w:val="auto"/>
          <w:sz w:val="32"/>
          <w:highlight w:val="none"/>
        </w:rPr>
        <w:t>成本效益分析法</w:t>
      </w:r>
      <w:r>
        <w:rPr>
          <w:rFonts w:hint="eastAsia" w:ascii="仿宋_GB2312" w:hAnsi="仿宋_GB2312" w:cs="仿宋_GB2312"/>
          <w:color w:val="auto"/>
          <w:sz w:val="32"/>
          <w:highlight w:val="none"/>
          <w:lang w:eastAsia="zh-CN"/>
        </w:rPr>
        <w:t>和</w:t>
      </w:r>
      <w:r>
        <w:rPr>
          <w:rFonts w:hint="eastAsia" w:ascii="仿宋_GB2312" w:hAnsi="仿宋_GB2312" w:cs="仿宋_GB2312"/>
          <w:color w:val="auto"/>
          <w:sz w:val="32"/>
          <w:highlight w:val="none"/>
        </w:rPr>
        <w:t>分析在产出一定的情况下，成本取值是否有依据，是否经过询价，是否按照市场最低成本编制。</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eastAsia="仿宋_GB2312" w:cs="仿宋_GB2312"/>
          <w:color w:val="auto"/>
          <w:sz w:val="32"/>
          <w:highlight w:val="none"/>
          <w:lang w:eastAsia="zh-CN"/>
        </w:rPr>
      </w:pPr>
      <w:r>
        <w:rPr>
          <w:rFonts w:hint="eastAsia" w:ascii="仿宋_GB2312" w:hAnsi="仿宋_GB2312" w:cs="仿宋_GB2312"/>
          <w:color w:val="auto"/>
          <w:sz w:val="32"/>
          <w:highlight w:val="none"/>
        </w:rPr>
        <w:t>资金分配合理性：因素分析法，综合分析资金的分配依据是否充分，分配金额是否与项目实施单位需求金额一致</w:t>
      </w:r>
      <w:r>
        <w:rPr>
          <w:rFonts w:hint="eastAsia" w:ascii="仿宋_GB2312" w:hAnsi="仿宋_GB2312" w:cs="仿宋_GB2312"/>
          <w:color w:val="auto"/>
          <w:sz w:val="32"/>
          <w:highlight w:val="none"/>
          <w:lang w:eastAsia="zh-CN"/>
        </w:rPr>
        <w:t>。</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资金到位率：比较法，资金到位率预期指标值应为100%，通过实际计算，分析实际完成值和预期指标值之间的差距和原因。</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预算执行率：比较法，预算执行率预期指标值应为100%，通过实际计算，分析实际完成值和预期指标值之间的差距和原因。</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资金使用合规性：文献法、实地勘察法，一是查找资金管理办法，包括专项资金管理办法和单位自有资金管理办法；二是通过查账了解具体开支情况，是否专款专用，是否按照标准支出。</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管理制度健全性：文献法、比较法，查阅项目实施人员提供的财务和业务管理制度，将已建立的制度与现行的法律法规和政策要求进行对比，分析项目制度的合法性、合规性、完整性。</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制度执行有效性：比较法，结合项目实际实施过程性文件，根据已建设的财务管理制度和项目管理制度综合分析制度执行的有效性。</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定量指标：比较法，将实际完成值与年初指标值相比，完成指标值的，该指标所赋全部分值；对完成值高于指标值较多的，要分析原因，如果是由于年初指标值设定明显偏低造成的，要按照偏离度适度调减分值；未完成指标值的，按照完成值与指标值的比例记分。</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定性指标：公众评判法，通过问卷及抽样调查等方式评价本项目实施后社会公众对于其实施效果的满意程度。</w:t>
      </w:r>
    </w:p>
    <w:p>
      <w:pPr>
        <w:numPr>
          <w:ilvl w:val="0"/>
          <w:numId w:val="2"/>
        </w:num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_GB2312" w:cs="仿宋_GB2312"/>
          <w:b/>
          <w:color w:val="auto"/>
          <w:sz w:val="32"/>
          <w:szCs w:val="32"/>
          <w:highlight w:val="none"/>
        </w:rPr>
      </w:pPr>
      <w:r>
        <w:rPr>
          <w:rFonts w:hint="eastAsia" w:ascii="仿宋_GB2312" w:hAnsi="仿宋_GB2312" w:cs="仿宋_GB2312"/>
          <w:b/>
          <w:color w:val="auto"/>
          <w:sz w:val="32"/>
          <w:szCs w:val="32"/>
          <w:highlight w:val="none"/>
        </w:rPr>
        <w:t>绩效评价标准</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绩效评价标准通常包括计划标准、行业标准、历史标准等，用于对绩效指标完成情况进行比较。（1）计划标准。指以预先制定的目标、计划、预算、定额等作为评价标准。（2）行业标准。参照国家公布的行业指标数据制定的评价标准。（3）历史标准。参照历史数据制定的评价标准，为体现绩效改进的原则，在可实现的条件下应当确定相对较高的评价标准。（4）财政部门和预算部门确认或认可的其他标准。</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lang w:eastAsia="zh-CN"/>
        </w:rPr>
        <w:t>2024年市级、乡级河流权籍调查勘界项目</w:t>
      </w:r>
      <w:r>
        <w:rPr>
          <w:rFonts w:hint="eastAsia" w:ascii="仿宋_GB2312" w:hAnsi="仿宋_GB2312" w:cs="仿宋_GB2312"/>
          <w:color w:val="auto"/>
          <w:sz w:val="32"/>
          <w:highlight w:val="none"/>
        </w:rPr>
        <w:t>属于</w:t>
      </w:r>
      <w:r>
        <w:rPr>
          <w:rFonts w:hint="eastAsia" w:ascii="仿宋_GB2312" w:hAnsi="仿宋_GB2312" w:cs="仿宋_GB2312"/>
          <w:color w:val="auto"/>
          <w:sz w:val="32"/>
          <w:highlight w:val="none"/>
          <w:lang w:val="en-US" w:eastAsia="zh-CN"/>
        </w:rPr>
        <w:t>业务</w:t>
      </w:r>
      <w:r>
        <w:rPr>
          <w:rFonts w:hint="eastAsia" w:ascii="仿宋_GB2312" w:hAnsi="仿宋_GB2312" w:cs="仿宋_GB2312"/>
          <w:color w:val="auto"/>
          <w:sz w:val="32"/>
          <w:highlight w:val="none"/>
        </w:rPr>
        <w:t>类项目，</w:t>
      </w:r>
      <w:r>
        <w:rPr>
          <w:rFonts w:hint="eastAsia" w:ascii="仿宋_GB2312" w:hAnsi="仿宋_GB2312" w:cs="仿宋_GB2312"/>
          <w:bCs/>
          <w:color w:val="auto"/>
          <w:sz w:val="32"/>
          <w:highlight w:val="none"/>
        </w:rPr>
        <w:t>有</w:t>
      </w:r>
      <w:r>
        <w:rPr>
          <w:rFonts w:hint="eastAsia" w:ascii="仿宋_GB2312" w:hAnsi="仿宋_GB2312" w:cs="仿宋_GB2312"/>
          <w:color w:val="auto"/>
          <w:sz w:val="32"/>
          <w:highlight w:val="none"/>
        </w:rPr>
        <w:t>相应的行业标准和历史标准，故采用</w:t>
      </w:r>
      <w:r>
        <w:rPr>
          <w:rFonts w:hint="eastAsia" w:ascii="仿宋_GB2312"/>
          <w:color w:val="auto"/>
          <w:sz w:val="32"/>
          <w:highlight w:val="none"/>
        </w:rPr>
        <w:t>计划标准、行业标准、历史标准</w:t>
      </w:r>
      <w:r>
        <w:rPr>
          <w:rFonts w:hint="eastAsia" w:ascii="仿宋_GB2312" w:hAnsi="仿宋_GB2312" w:cs="仿宋_GB2312"/>
          <w:color w:val="auto"/>
          <w:sz w:val="32"/>
          <w:highlight w:val="none"/>
        </w:rPr>
        <w:t>评价该项目。</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楷体" w:hAnsi="楷体" w:eastAsia="楷体" w:cs="仿宋_GB2312"/>
          <w:b/>
          <w:bCs/>
          <w:color w:val="auto"/>
          <w:sz w:val="32"/>
          <w:highlight w:val="none"/>
        </w:rPr>
      </w:pPr>
      <w:r>
        <w:rPr>
          <w:rFonts w:hint="eastAsia" w:ascii="楷体" w:hAnsi="楷体" w:eastAsia="楷体" w:cs="仿宋_GB2312"/>
          <w:b/>
          <w:bCs/>
          <w:color w:val="auto"/>
          <w:sz w:val="32"/>
          <w:highlight w:val="none"/>
        </w:rPr>
        <w:t>（三）绩效评价工作过程。</w:t>
      </w:r>
    </w:p>
    <w:p>
      <w:pPr>
        <w:pBdr>
          <w:top w:val="none" w:color="auto" w:sz="0" w:space="0"/>
          <w:left w:val="none" w:color="auto" w:sz="0" w:space="0"/>
          <w:bottom w:val="none" w:color="auto" w:sz="0" w:space="31"/>
          <w:right w:val="none" w:color="auto" w:sz="0" w:space="2"/>
        </w:pBdr>
        <w:autoSpaceDN w:val="0"/>
        <w:adjustRightInd w:val="0"/>
        <w:spacing w:line="560" w:lineRule="exact"/>
        <w:ind w:left="600" w:leftChars="200"/>
        <w:contextualSpacing/>
        <w:rPr>
          <w:rFonts w:hint="eastAsia" w:ascii="仿宋_GB2312" w:hAnsi="仿宋_GB2312" w:cs="仿宋_GB2312"/>
          <w:b/>
          <w:color w:val="auto"/>
          <w:sz w:val="32"/>
          <w:highlight w:val="none"/>
        </w:rPr>
      </w:pPr>
      <w:r>
        <w:rPr>
          <w:rFonts w:hint="eastAsia" w:ascii="仿宋_GB2312" w:hAnsi="仿宋_GB2312" w:cs="仿宋_GB2312"/>
          <w:b/>
          <w:color w:val="auto"/>
          <w:sz w:val="32"/>
          <w:highlight w:val="none"/>
        </w:rPr>
        <w:t>1．前期准备</w:t>
      </w:r>
    </w:p>
    <w:p>
      <w:pPr>
        <w:pStyle w:val="31"/>
        <w:keepNext w:val="0"/>
        <w:keepLines w:val="0"/>
        <w:numPr>
          <w:ilvl w:val="0"/>
          <w:numId w:val="0"/>
        </w:numPr>
        <w:spacing w:before="0" w:after="0" w:line="560" w:lineRule="exact"/>
        <w:ind w:firstLine="640" w:firstLineChars="200"/>
        <w:outlineLvl w:val="9"/>
        <w:rPr>
          <w:b w:val="0"/>
          <w:bCs w:val="0"/>
          <w:color w:val="auto"/>
          <w:highlight w:val="none"/>
        </w:rPr>
      </w:pPr>
      <w:r>
        <w:rPr>
          <w:rFonts w:hint="eastAsia"/>
          <w:b w:val="0"/>
          <w:bCs w:val="0"/>
          <w:color w:val="auto"/>
          <w:highlight w:val="none"/>
        </w:rPr>
        <w:t>本次评价成立了评价工作组，成员如下：</w:t>
      </w:r>
    </w:p>
    <w:tbl>
      <w:tblPr>
        <w:tblStyle w:val="10"/>
        <w:tblW w:w="86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20"/>
        <w:gridCol w:w="1827"/>
        <w:gridCol w:w="39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97" w:hRule="atLeast"/>
          <w:jc w:val="center"/>
        </w:trPr>
        <w:tc>
          <w:tcPr>
            <w:tcW w:w="2920" w:type="dxa"/>
            <w:vAlign w:val="center"/>
          </w:tcPr>
          <w:p>
            <w:pPr>
              <w:pStyle w:val="31"/>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评价人</w:t>
            </w:r>
          </w:p>
        </w:tc>
        <w:tc>
          <w:tcPr>
            <w:tcW w:w="1827" w:type="dxa"/>
            <w:vAlign w:val="center"/>
          </w:tcPr>
          <w:p>
            <w:pPr>
              <w:pStyle w:val="31"/>
              <w:keepNext w:val="0"/>
              <w:keepLines w:val="0"/>
              <w:numPr>
                <w:ilvl w:val="0"/>
                <w:numId w:val="0"/>
              </w:numPr>
              <w:spacing w:line="560" w:lineRule="exact"/>
              <w:jc w:val="center"/>
              <w:rPr>
                <w:rFonts w:hint="eastAsia"/>
                <w:b w:val="0"/>
                <w:bCs w:val="0"/>
                <w:color w:val="auto"/>
                <w:highlight w:val="none"/>
              </w:rPr>
            </w:pPr>
            <w:r>
              <w:rPr>
                <w:rFonts w:hint="eastAsia"/>
                <w:b w:val="0"/>
                <w:bCs w:val="0"/>
                <w:color w:val="auto"/>
                <w:highlight w:val="none"/>
              </w:rPr>
              <w:t>职务</w:t>
            </w:r>
          </w:p>
        </w:tc>
        <w:tc>
          <w:tcPr>
            <w:tcW w:w="3901" w:type="dxa"/>
            <w:vAlign w:val="center"/>
          </w:tcPr>
          <w:p>
            <w:pPr>
              <w:pStyle w:val="31"/>
              <w:keepNext w:val="0"/>
              <w:keepLines w:val="0"/>
              <w:numPr>
                <w:ilvl w:val="0"/>
                <w:numId w:val="0"/>
              </w:numPr>
              <w:spacing w:line="560" w:lineRule="exact"/>
              <w:jc w:val="center"/>
              <w:rPr>
                <w:rFonts w:hint="eastAsia"/>
                <w:b w:val="0"/>
                <w:bCs w:val="0"/>
                <w:color w:val="auto"/>
                <w:highlight w:val="none"/>
              </w:rPr>
            </w:pPr>
            <w:r>
              <w:rPr>
                <w:rFonts w:hint="eastAsia"/>
                <w:b w:val="0"/>
                <w:bCs w:val="0"/>
                <w:color w:val="auto"/>
                <w:highlight w:val="none"/>
              </w:rPr>
              <w:t>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2920" w:type="dxa"/>
            <w:vAlign w:val="center"/>
          </w:tcPr>
          <w:p>
            <w:pPr>
              <w:pStyle w:val="31"/>
              <w:keepNext w:val="0"/>
              <w:keepLines w:val="0"/>
              <w:numPr>
                <w:ilvl w:val="0"/>
                <w:numId w:val="0"/>
              </w:numPr>
              <w:spacing w:line="560" w:lineRule="exact"/>
              <w:jc w:val="center"/>
              <w:rPr>
                <w:rFonts w:hint="eastAsia"/>
                <w:b w:val="0"/>
                <w:bCs w:val="0"/>
                <w:color w:val="auto"/>
                <w:highlight w:val="none"/>
              </w:rPr>
            </w:pPr>
            <w:r>
              <w:rPr>
                <w:rFonts w:hint="eastAsia"/>
                <w:b w:val="0"/>
                <w:bCs w:val="0"/>
                <w:color w:val="auto"/>
                <w:highlight w:val="none"/>
              </w:rPr>
              <w:t>代军</w:t>
            </w:r>
          </w:p>
        </w:tc>
        <w:tc>
          <w:tcPr>
            <w:tcW w:w="1827" w:type="dxa"/>
            <w:vAlign w:val="center"/>
          </w:tcPr>
          <w:p>
            <w:pPr>
              <w:pStyle w:val="31"/>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评价组组长</w:t>
            </w:r>
          </w:p>
        </w:tc>
        <w:tc>
          <w:tcPr>
            <w:tcW w:w="3901" w:type="dxa"/>
            <w:vAlign w:val="center"/>
          </w:tcPr>
          <w:p>
            <w:pPr>
              <w:pStyle w:val="31"/>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组织安排绩效评价工作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2920" w:type="dxa"/>
            <w:vAlign w:val="center"/>
          </w:tcPr>
          <w:p>
            <w:pPr>
              <w:pStyle w:val="31"/>
              <w:keepNext w:val="0"/>
              <w:keepLines w:val="0"/>
              <w:numPr>
                <w:ilvl w:val="0"/>
                <w:numId w:val="0"/>
              </w:numPr>
              <w:spacing w:line="560" w:lineRule="exact"/>
              <w:jc w:val="center"/>
              <w:rPr>
                <w:rFonts w:hint="eastAsia"/>
                <w:b w:val="0"/>
                <w:bCs w:val="0"/>
                <w:color w:val="auto"/>
                <w:highlight w:val="none"/>
              </w:rPr>
            </w:pPr>
            <w:r>
              <w:rPr>
                <w:rFonts w:hint="eastAsia"/>
                <w:b w:val="0"/>
                <w:bCs w:val="0"/>
                <w:color w:val="auto"/>
                <w:highlight w:val="none"/>
              </w:rPr>
              <w:t>艾尔肯·阿不力孜</w:t>
            </w:r>
          </w:p>
        </w:tc>
        <w:tc>
          <w:tcPr>
            <w:tcW w:w="1827" w:type="dxa"/>
            <w:vAlign w:val="center"/>
          </w:tcPr>
          <w:p>
            <w:pPr>
              <w:pStyle w:val="31"/>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评价组成员</w:t>
            </w:r>
          </w:p>
        </w:tc>
        <w:tc>
          <w:tcPr>
            <w:tcW w:w="3901" w:type="dxa"/>
            <w:vAlign w:val="center"/>
          </w:tcPr>
          <w:p>
            <w:pPr>
              <w:pStyle w:val="31"/>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资料整理及信息汇总工作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2920" w:type="dxa"/>
            <w:vAlign w:val="center"/>
          </w:tcPr>
          <w:p>
            <w:pPr>
              <w:pStyle w:val="31"/>
              <w:keepNext w:val="0"/>
              <w:keepLines w:val="0"/>
              <w:numPr>
                <w:ilvl w:val="0"/>
                <w:numId w:val="0"/>
              </w:numPr>
              <w:spacing w:line="560" w:lineRule="exact"/>
              <w:jc w:val="center"/>
              <w:rPr>
                <w:rFonts w:hint="eastAsia"/>
                <w:b w:val="0"/>
                <w:bCs w:val="0"/>
                <w:color w:val="auto"/>
                <w:highlight w:val="none"/>
              </w:rPr>
            </w:pPr>
            <w:r>
              <w:rPr>
                <w:rFonts w:hint="eastAsia"/>
                <w:b w:val="0"/>
                <w:bCs w:val="0"/>
                <w:color w:val="auto"/>
                <w:highlight w:val="none"/>
              </w:rPr>
              <w:t>古丽鲜</w:t>
            </w:r>
          </w:p>
        </w:tc>
        <w:tc>
          <w:tcPr>
            <w:tcW w:w="1827" w:type="dxa"/>
            <w:vAlign w:val="center"/>
          </w:tcPr>
          <w:p>
            <w:pPr>
              <w:pStyle w:val="31"/>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评价组成员</w:t>
            </w:r>
          </w:p>
        </w:tc>
        <w:tc>
          <w:tcPr>
            <w:tcW w:w="3901" w:type="dxa"/>
            <w:vAlign w:val="center"/>
          </w:tcPr>
          <w:p>
            <w:pPr>
              <w:pStyle w:val="31"/>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出具项目绩效评价报告</w:t>
            </w:r>
          </w:p>
        </w:tc>
      </w:tr>
    </w:tbl>
    <w:p>
      <w:pPr>
        <w:pStyle w:val="27"/>
        <w:tabs>
          <w:tab w:val="left" w:pos="1123"/>
        </w:tabs>
        <w:spacing w:line="560" w:lineRule="exact"/>
        <w:ind w:firstLine="640"/>
        <w:rPr>
          <w:rFonts w:hint="eastAsia" w:ascii="仿宋_GB2312" w:hAnsi="仿宋_GB2312" w:eastAsia="仿宋_GB2312" w:cs="仿宋_GB2312"/>
          <w:color w:val="auto"/>
          <w:sz w:val="32"/>
          <w:szCs w:val="24"/>
          <w:highlight w:val="none"/>
          <w:lang w:val="en-US" w:eastAsia="zh-CN" w:bidi="ar-SA"/>
        </w:rPr>
      </w:pPr>
      <w:r>
        <w:rPr>
          <w:rFonts w:hint="eastAsia" w:ascii="仿宋_GB2312" w:hAnsi="仿宋_GB2312" w:eastAsia="仿宋_GB2312" w:cs="仿宋_GB2312"/>
          <w:color w:val="auto"/>
          <w:sz w:val="32"/>
          <w:szCs w:val="24"/>
          <w:highlight w:val="none"/>
          <w:lang w:val="en-US" w:eastAsia="zh-CN" w:bidi="ar-SA"/>
        </w:rPr>
        <w:t>2025年3月20日开始前期准备工作。评价组通过对评价对象前期调研，确定了评价的目的、方法以及评价的原则，根据2024年市级、乡级河流权籍调查勘界项目的内容和特征制定了评价指标体系及评价标准以及评价实施方案，修正并确定所需资料清单，最终确定实施方案。</w:t>
      </w:r>
    </w:p>
    <w:p>
      <w:pPr>
        <w:pStyle w:val="27"/>
        <w:tabs>
          <w:tab w:val="left" w:pos="1123"/>
        </w:tabs>
        <w:spacing w:line="560" w:lineRule="exact"/>
        <w:ind w:firstLine="640"/>
        <w:rPr>
          <w:rFonts w:hint="eastAsia" w:ascii="仿宋_GB2312" w:hAnsi="仿宋_GB2312" w:eastAsia="仿宋_GB2312" w:cs="仿宋_GB2312"/>
          <w:b/>
          <w:color w:val="auto"/>
          <w:sz w:val="32"/>
          <w:szCs w:val="24"/>
          <w:highlight w:val="none"/>
          <w:lang w:val="en-US" w:eastAsia="zh-CN" w:bidi="ar-SA"/>
        </w:rPr>
      </w:pPr>
      <w:r>
        <w:rPr>
          <w:rFonts w:hint="eastAsia" w:ascii="仿宋_GB2312" w:hAnsi="仿宋_GB2312" w:eastAsia="仿宋_GB2312" w:cs="仿宋_GB2312"/>
          <w:b/>
          <w:color w:val="auto"/>
          <w:sz w:val="32"/>
          <w:szCs w:val="24"/>
          <w:highlight w:val="none"/>
          <w:lang w:val="en-US" w:eastAsia="zh-CN" w:bidi="ar-SA"/>
        </w:rPr>
        <w:t>2．组织实施</w:t>
      </w:r>
    </w:p>
    <w:p>
      <w:pPr>
        <w:pStyle w:val="27"/>
        <w:tabs>
          <w:tab w:val="left" w:pos="1123"/>
        </w:tabs>
        <w:spacing w:line="560" w:lineRule="exact"/>
        <w:ind w:firstLine="640"/>
        <w:rPr>
          <w:rFonts w:hint="eastAsia" w:ascii="仿宋_GB2312" w:hAnsi="仿宋_GB2312" w:eastAsia="仿宋_GB2312" w:cs="仿宋_GB2312"/>
          <w:color w:val="auto"/>
          <w:sz w:val="32"/>
          <w:szCs w:val="24"/>
          <w:highlight w:val="none"/>
          <w:lang w:val="en-US" w:eastAsia="zh-CN" w:bidi="ar-SA"/>
        </w:rPr>
      </w:pPr>
      <w:r>
        <w:rPr>
          <w:rFonts w:hint="eastAsia" w:ascii="仿宋_GB2312" w:hAnsi="仿宋_GB2312" w:eastAsia="仿宋_GB2312" w:cs="仿宋_GB2312"/>
          <w:color w:val="auto"/>
          <w:sz w:val="32"/>
          <w:szCs w:val="24"/>
          <w:highlight w:val="none"/>
          <w:lang w:val="en-US" w:eastAsia="zh-CN" w:bidi="ar-SA"/>
        </w:rPr>
        <w:t>202</w:t>
      </w:r>
      <w:r>
        <w:rPr>
          <w:rFonts w:ascii="仿宋_GB2312" w:hAnsi="仿宋_GB2312" w:eastAsia="仿宋_GB2312" w:cs="仿宋_GB2312"/>
          <w:color w:val="auto"/>
          <w:sz w:val="32"/>
          <w:szCs w:val="24"/>
          <w:highlight w:val="none"/>
          <w:lang w:val="en-US" w:eastAsia="zh-CN" w:bidi="ar-SA"/>
        </w:rPr>
        <w:t>5</w:t>
      </w:r>
      <w:r>
        <w:rPr>
          <w:rFonts w:hint="eastAsia" w:ascii="仿宋_GB2312" w:hAnsi="仿宋_GB2312" w:eastAsia="仿宋_GB2312" w:cs="仿宋_GB2312"/>
          <w:color w:val="auto"/>
          <w:sz w:val="32"/>
          <w:szCs w:val="24"/>
          <w:highlight w:val="none"/>
          <w:lang w:val="en-US" w:eastAsia="zh-CN" w:bidi="ar-SA"/>
        </w:rPr>
        <w:t>年4月1日-4月20日，评价工作进入实施阶段。数据采集方面，评价组整理单位前期提交的各项资料，与项目实施负责人沟通，了解部门预算资金的内容、操作流程、管理机制、资金使用方向等情况；进行项目支出部门评价各项工作信息采集，了解项目设置背景及资金使用等情况。</w:t>
      </w:r>
    </w:p>
    <w:p>
      <w:pPr>
        <w:pStyle w:val="27"/>
        <w:tabs>
          <w:tab w:val="left" w:pos="1123"/>
        </w:tabs>
        <w:spacing w:line="560" w:lineRule="exact"/>
        <w:ind w:firstLine="640"/>
        <w:rPr>
          <w:rFonts w:hint="eastAsia" w:ascii="仿宋_GB2312" w:hAnsi="仿宋_GB2312" w:eastAsia="仿宋_GB2312" w:cs="仿宋_GB2312"/>
          <w:b/>
          <w:color w:val="auto"/>
          <w:sz w:val="32"/>
          <w:szCs w:val="32"/>
          <w:highlight w:val="none"/>
          <w:lang w:val="en-US" w:eastAsia="zh-CN" w:bidi="ar-SA"/>
        </w:rPr>
      </w:pPr>
      <w:r>
        <w:rPr>
          <w:rFonts w:hint="eastAsia" w:ascii="仿宋_GB2312" w:hAnsi="仿宋_GB2312" w:eastAsia="仿宋_GB2312" w:cs="仿宋_GB2312"/>
          <w:b/>
          <w:color w:val="auto"/>
          <w:sz w:val="32"/>
          <w:szCs w:val="32"/>
          <w:highlight w:val="none"/>
          <w:lang w:val="en-US" w:eastAsia="zh-CN" w:bidi="ar-SA"/>
        </w:rPr>
        <w:t>3．分析评价</w:t>
      </w:r>
    </w:p>
    <w:p>
      <w:pPr>
        <w:pStyle w:val="27"/>
        <w:tabs>
          <w:tab w:val="left" w:pos="1123"/>
        </w:tabs>
        <w:spacing w:line="560" w:lineRule="exact"/>
        <w:ind w:firstLine="640"/>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202</w:t>
      </w:r>
      <w:r>
        <w:rPr>
          <w:rFonts w:ascii="仿宋_GB2312" w:hAnsi="仿宋_GB2312" w:eastAsia="仿宋_GB2312" w:cs="仿宋_GB2312"/>
          <w:color w:val="auto"/>
          <w:sz w:val="32"/>
          <w:szCs w:val="32"/>
          <w:highlight w:val="none"/>
          <w:lang w:val="en-US" w:eastAsia="zh-CN" w:bidi="ar-SA"/>
        </w:rPr>
        <w:t>5</w:t>
      </w:r>
      <w:r>
        <w:rPr>
          <w:rFonts w:hint="eastAsia" w:ascii="仿宋_GB2312" w:hAnsi="仿宋_GB2312" w:eastAsia="仿宋_GB2312" w:cs="仿宋_GB2312"/>
          <w:color w:val="auto"/>
          <w:sz w:val="32"/>
          <w:szCs w:val="32"/>
          <w:highlight w:val="none"/>
          <w:lang w:val="en-US" w:eastAsia="zh-CN" w:bidi="ar-SA"/>
        </w:rPr>
        <w:t>年</w:t>
      </w:r>
      <w:r>
        <w:rPr>
          <w:rFonts w:hint="eastAsia" w:ascii="仿宋_GB2312" w:hAnsi="仿宋_GB2312" w:eastAsia="仿宋_GB2312" w:cs="仿宋_GB2312"/>
          <w:color w:val="auto"/>
          <w:sz w:val="32"/>
          <w:szCs w:val="24"/>
          <w:highlight w:val="none"/>
          <w:lang w:val="en-US" w:eastAsia="zh-CN" w:bidi="ar-SA"/>
        </w:rPr>
        <w:t>4</w:t>
      </w:r>
      <w:r>
        <w:rPr>
          <w:rFonts w:hint="eastAsia" w:ascii="仿宋_GB2312" w:hAnsi="仿宋_GB2312" w:eastAsia="仿宋_GB2312" w:cs="仿宋_GB2312"/>
          <w:color w:val="auto"/>
          <w:sz w:val="32"/>
          <w:szCs w:val="32"/>
          <w:highlight w:val="none"/>
          <w:lang w:val="en-US" w:eastAsia="zh-CN" w:bidi="ar-SA"/>
        </w:rPr>
        <w:t>月</w:t>
      </w:r>
      <w:r>
        <w:rPr>
          <w:rFonts w:hint="eastAsia" w:ascii="仿宋_GB2312" w:hAnsi="仿宋_GB2312" w:eastAsia="仿宋_GB2312" w:cs="仿宋_GB2312"/>
          <w:color w:val="auto"/>
          <w:sz w:val="32"/>
          <w:szCs w:val="24"/>
          <w:highlight w:val="none"/>
          <w:lang w:val="en-US" w:eastAsia="zh-CN" w:bidi="ar-SA"/>
        </w:rPr>
        <w:t>21</w:t>
      </w:r>
      <w:r>
        <w:rPr>
          <w:rFonts w:hint="eastAsia" w:ascii="仿宋_GB2312" w:hAnsi="仿宋_GB2312" w:eastAsia="仿宋_GB2312" w:cs="仿宋_GB2312"/>
          <w:color w:val="auto"/>
          <w:sz w:val="32"/>
          <w:szCs w:val="32"/>
          <w:highlight w:val="none"/>
          <w:lang w:val="en-US" w:eastAsia="zh-CN" w:bidi="ar-SA"/>
        </w:rPr>
        <w:t>日-</w:t>
      </w:r>
      <w:r>
        <w:rPr>
          <w:rFonts w:hint="eastAsia" w:ascii="仿宋_GB2312" w:hAnsi="仿宋_GB2312" w:eastAsia="仿宋_GB2312" w:cs="仿宋_GB2312"/>
          <w:color w:val="auto"/>
          <w:sz w:val="32"/>
          <w:szCs w:val="24"/>
          <w:highlight w:val="none"/>
          <w:lang w:val="en-US" w:eastAsia="zh-CN" w:bidi="ar-SA"/>
        </w:rPr>
        <w:t>5</w:t>
      </w:r>
      <w:r>
        <w:rPr>
          <w:rFonts w:hint="eastAsia" w:ascii="仿宋_GB2312" w:hAnsi="仿宋_GB2312" w:eastAsia="仿宋_GB2312" w:cs="仿宋_GB2312"/>
          <w:color w:val="auto"/>
          <w:sz w:val="32"/>
          <w:szCs w:val="32"/>
          <w:highlight w:val="none"/>
          <w:lang w:val="en-US" w:eastAsia="zh-CN" w:bidi="ar-SA"/>
        </w:rPr>
        <w:t>月20日，评价组按照绩效评价的原则和规范，对取得的资料进行审查核实，对采集的数据进行分析，按照绩效评价指标评分表逐项进行打分、分析，汇总各方评价结果，综合分析并形成评价结论。</w:t>
      </w:r>
    </w:p>
    <w:p>
      <w:pPr>
        <w:pStyle w:val="27"/>
        <w:tabs>
          <w:tab w:val="left" w:pos="1123"/>
        </w:tabs>
        <w:spacing w:line="560" w:lineRule="exact"/>
        <w:ind w:firstLine="640"/>
        <w:rPr>
          <w:rFonts w:hint="eastAsia" w:ascii="黑体" w:hAnsi="黑体" w:eastAsia="黑体" w:cs="仿宋_GB2312"/>
          <w:color w:val="auto"/>
          <w:sz w:val="32"/>
          <w:szCs w:val="32"/>
          <w:highlight w:val="none"/>
          <w:lang w:val="en-US" w:eastAsia="zh-CN" w:bidi="ar-SA"/>
        </w:rPr>
      </w:pPr>
      <w:r>
        <w:rPr>
          <w:rFonts w:hint="eastAsia" w:ascii="黑体" w:hAnsi="黑体" w:eastAsia="黑体" w:cs="仿宋_GB2312"/>
          <w:color w:val="auto"/>
          <w:sz w:val="32"/>
          <w:szCs w:val="32"/>
          <w:highlight w:val="none"/>
          <w:lang w:val="en-US" w:eastAsia="zh-CN" w:bidi="ar-SA"/>
        </w:rPr>
        <w:t>三、综合评价情况及评价结论</w:t>
      </w:r>
    </w:p>
    <w:p>
      <w:pPr>
        <w:pStyle w:val="27"/>
        <w:tabs>
          <w:tab w:val="left" w:pos="1123"/>
        </w:tabs>
        <w:spacing w:line="560" w:lineRule="exact"/>
        <w:ind w:firstLine="640"/>
        <w:rPr>
          <w:rFonts w:hint="eastAsia" w:ascii="楷体" w:hAnsi="楷体" w:eastAsia="楷体" w:cs="仿宋_GB2312"/>
          <w:b/>
          <w:bCs/>
          <w:color w:val="auto"/>
          <w:sz w:val="32"/>
          <w:szCs w:val="32"/>
          <w:highlight w:val="none"/>
          <w:lang w:val="en-US" w:eastAsia="zh-CN" w:bidi="ar-SA"/>
        </w:rPr>
      </w:pPr>
      <w:r>
        <w:rPr>
          <w:rFonts w:hint="eastAsia" w:ascii="楷体" w:hAnsi="楷体" w:eastAsia="楷体" w:cs="仿宋_GB2312"/>
          <w:b/>
          <w:bCs/>
          <w:color w:val="auto"/>
          <w:sz w:val="32"/>
          <w:szCs w:val="32"/>
          <w:highlight w:val="none"/>
          <w:lang w:val="en-US" w:eastAsia="zh-CN" w:bidi="ar-SA"/>
        </w:rPr>
        <w:t>（一）综合评价情况</w:t>
      </w:r>
    </w:p>
    <w:p>
      <w:pPr>
        <w:pStyle w:val="27"/>
        <w:tabs>
          <w:tab w:val="left" w:pos="1123"/>
        </w:tabs>
        <w:spacing w:line="560" w:lineRule="exact"/>
        <w:ind w:firstLine="640"/>
        <w:rPr>
          <w:rFonts w:hint="eastAsia" w:ascii="仿宋_GB2312" w:hAnsi="Cambria" w:eastAsia="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bidi="ar-SA"/>
        </w:rPr>
        <w:t>本级绩效评价遵循科学规范、公开公正、绩效相关和问题导向的原则、重点评价项目的资金投入与财务管理</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bidi="ar-SA"/>
        </w:rPr>
        <w:t>组织管理、产出与效益效果。在此基础上，以相关的项目数据为基础，综合运用不同的评价方法，结合评价标准和评分规则，2024年市级、乡级河流权籍调查勘界项目综合得分为95.5分，</w:t>
      </w:r>
      <w:r>
        <w:rPr>
          <w:rFonts w:hint="eastAsia" w:ascii="仿宋_GB2312" w:hAnsi="Cambria" w:eastAsia="仿宋_GB2312"/>
          <w:color w:val="auto"/>
          <w:sz w:val="32"/>
          <w:szCs w:val="32"/>
          <w:highlight w:val="none"/>
        </w:rPr>
        <w:t>评价结果为优。</w:t>
      </w:r>
    </w:p>
    <w:p>
      <w:pPr>
        <w:pStyle w:val="27"/>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b/>
          <w:color w:val="auto"/>
          <w:sz w:val="32"/>
          <w:szCs w:val="32"/>
          <w:highlight w:val="none"/>
          <w:lang w:val="en-US" w:eastAsia="zh-CN" w:bidi="ar-SA"/>
        </w:rPr>
        <w:t>2024年市级、乡级河流权籍调查勘界项目评价得分情况</w:t>
      </w:r>
    </w:p>
    <w:tbl>
      <w:tblPr>
        <w:tblStyle w:val="10"/>
        <w:tblW w:w="9309" w:type="dxa"/>
        <w:jc w:val="center"/>
        <w:tblLayout w:type="fixed"/>
        <w:tblCellMar>
          <w:top w:w="0" w:type="dxa"/>
          <w:left w:w="10" w:type="dxa"/>
          <w:bottom w:w="0" w:type="dxa"/>
          <w:right w:w="10" w:type="dxa"/>
        </w:tblCellMar>
      </w:tblPr>
      <w:tblGrid>
        <w:gridCol w:w="1447"/>
        <w:gridCol w:w="2045"/>
        <w:gridCol w:w="1951"/>
        <w:gridCol w:w="3866"/>
      </w:tblGrid>
      <w:tr>
        <w:tblPrEx>
          <w:tblCellMar>
            <w:top w:w="0" w:type="dxa"/>
            <w:left w:w="10" w:type="dxa"/>
            <w:bottom w:w="0" w:type="dxa"/>
            <w:right w:w="10" w:type="dxa"/>
          </w:tblCellMar>
        </w:tblPrEx>
        <w:trPr>
          <w:trHeight w:val="749" w:hRule="exact"/>
          <w:jc w:val="center"/>
        </w:trPr>
        <w:tc>
          <w:tcPr>
            <w:tcW w:w="1447" w:type="dxa"/>
            <w:tcBorders>
              <w:top w:val="single" w:color="auto" w:sz="4" w:space="0"/>
              <w:left w:val="single" w:color="auto" w:sz="4" w:space="0"/>
            </w:tcBorders>
            <w:shd w:val="clear" w:color="auto" w:fill="FFFFFF"/>
            <w:vAlign w:val="center"/>
          </w:tcPr>
          <w:p>
            <w:pPr>
              <w:pStyle w:val="30"/>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指标类别</w:t>
            </w:r>
          </w:p>
        </w:tc>
        <w:tc>
          <w:tcPr>
            <w:tcW w:w="2045" w:type="dxa"/>
            <w:tcBorders>
              <w:top w:val="single" w:color="auto" w:sz="4" w:space="0"/>
              <w:left w:val="single" w:color="auto" w:sz="4" w:space="0"/>
            </w:tcBorders>
            <w:shd w:val="clear" w:color="auto" w:fill="FFFFFF"/>
            <w:vAlign w:val="center"/>
          </w:tcPr>
          <w:p>
            <w:pPr>
              <w:pStyle w:val="30"/>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分值</w:t>
            </w:r>
          </w:p>
        </w:tc>
        <w:tc>
          <w:tcPr>
            <w:tcW w:w="1951" w:type="dxa"/>
            <w:tcBorders>
              <w:top w:val="single" w:color="auto" w:sz="4" w:space="0"/>
              <w:left w:val="single" w:color="auto" w:sz="4" w:space="0"/>
            </w:tcBorders>
            <w:shd w:val="clear" w:color="auto" w:fill="FFFFFF"/>
            <w:vAlign w:val="center"/>
          </w:tcPr>
          <w:p>
            <w:pPr>
              <w:pStyle w:val="30"/>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评价得分</w:t>
            </w:r>
          </w:p>
        </w:tc>
        <w:tc>
          <w:tcPr>
            <w:tcW w:w="3866" w:type="dxa"/>
            <w:tcBorders>
              <w:top w:val="single" w:color="auto" w:sz="4" w:space="0"/>
              <w:left w:val="single" w:color="auto" w:sz="4" w:space="0"/>
              <w:right w:val="single" w:color="auto" w:sz="4" w:space="0"/>
            </w:tcBorders>
            <w:shd w:val="clear" w:color="auto" w:fill="FFFFFF"/>
            <w:vAlign w:val="center"/>
          </w:tcPr>
          <w:p>
            <w:pPr>
              <w:pStyle w:val="30"/>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备注</w:t>
            </w:r>
          </w:p>
        </w:tc>
      </w:tr>
      <w:tr>
        <w:tblPrEx>
          <w:tblCellMar>
            <w:top w:w="0" w:type="dxa"/>
            <w:left w:w="10" w:type="dxa"/>
            <w:bottom w:w="0" w:type="dxa"/>
            <w:right w:w="10" w:type="dxa"/>
          </w:tblCellMar>
        </w:tblPrEx>
        <w:trPr>
          <w:trHeight w:val="824" w:hRule="exact"/>
          <w:jc w:val="center"/>
        </w:trPr>
        <w:tc>
          <w:tcPr>
            <w:tcW w:w="1447" w:type="dxa"/>
            <w:tcBorders>
              <w:top w:val="single" w:color="auto" w:sz="4" w:space="0"/>
              <w:left w:val="single" w:color="auto" w:sz="4" w:space="0"/>
            </w:tcBorders>
            <w:shd w:val="clear" w:color="auto" w:fill="FFFFFF"/>
            <w:vAlign w:val="center"/>
          </w:tcPr>
          <w:p>
            <w:pPr>
              <w:pStyle w:val="30"/>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决策</w:t>
            </w:r>
          </w:p>
        </w:tc>
        <w:tc>
          <w:tcPr>
            <w:tcW w:w="2045" w:type="dxa"/>
            <w:tcBorders>
              <w:top w:val="single" w:color="auto" w:sz="4" w:space="0"/>
              <w:left w:val="single" w:color="auto" w:sz="4" w:space="0"/>
            </w:tcBorders>
            <w:shd w:val="clear" w:color="auto" w:fill="FFFFFF"/>
            <w:vAlign w:val="center"/>
          </w:tcPr>
          <w:p>
            <w:pPr>
              <w:pStyle w:val="30"/>
              <w:spacing w:line="560" w:lineRule="exact"/>
              <w:ind w:firstLine="0"/>
              <w:jc w:val="center"/>
              <w:rPr>
                <w:rFonts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23</w:t>
            </w:r>
          </w:p>
        </w:tc>
        <w:tc>
          <w:tcPr>
            <w:tcW w:w="1951" w:type="dxa"/>
            <w:tcBorders>
              <w:top w:val="single" w:color="auto" w:sz="4" w:space="0"/>
              <w:left w:val="single" w:color="auto" w:sz="4" w:space="0"/>
            </w:tcBorders>
            <w:shd w:val="clear" w:color="auto" w:fill="FFFFFF"/>
            <w:vAlign w:val="center"/>
          </w:tcPr>
          <w:p>
            <w:pPr>
              <w:pStyle w:val="30"/>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23</w:t>
            </w:r>
          </w:p>
        </w:tc>
        <w:tc>
          <w:tcPr>
            <w:tcW w:w="3866" w:type="dxa"/>
            <w:tcBorders>
              <w:top w:val="single" w:color="auto" w:sz="4" w:space="0"/>
              <w:left w:val="single" w:color="auto" w:sz="4" w:space="0"/>
              <w:right w:val="single" w:color="auto" w:sz="4" w:space="0"/>
            </w:tcBorders>
            <w:shd w:val="clear" w:color="auto" w:fill="FFFFFF"/>
            <w:vAlign w:val="top"/>
          </w:tcPr>
          <w:p>
            <w:pPr>
              <w:pStyle w:val="30"/>
              <w:spacing w:line="560" w:lineRule="exact"/>
              <w:ind w:firstLine="0"/>
              <w:rPr>
                <w:rFonts w:hint="eastAsia" w:ascii="仿宋_GB2312" w:hAnsi="仿宋_GB2312" w:eastAsia="仿宋_GB2312" w:cs="仿宋_GB2312"/>
                <w:color w:val="auto"/>
                <w:sz w:val="32"/>
                <w:szCs w:val="32"/>
                <w:highlight w:val="none"/>
                <w:lang w:val="en-US" w:eastAsia="zh-CN" w:bidi="ar-SA"/>
              </w:rPr>
            </w:pPr>
          </w:p>
        </w:tc>
      </w:tr>
      <w:tr>
        <w:tblPrEx>
          <w:tblCellMar>
            <w:top w:w="0" w:type="dxa"/>
            <w:left w:w="10" w:type="dxa"/>
            <w:bottom w:w="0" w:type="dxa"/>
            <w:right w:w="10" w:type="dxa"/>
          </w:tblCellMar>
        </w:tblPrEx>
        <w:trPr>
          <w:trHeight w:val="727" w:hRule="exact"/>
          <w:jc w:val="center"/>
        </w:trPr>
        <w:tc>
          <w:tcPr>
            <w:tcW w:w="1447" w:type="dxa"/>
            <w:tcBorders>
              <w:top w:val="single" w:color="auto" w:sz="4" w:space="0"/>
              <w:left w:val="single" w:color="auto" w:sz="4" w:space="0"/>
            </w:tcBorders>
            <w:shd w:val="clear" w:color="auto" w:fill="FFFFFF"/>
            <w:vAlign w:val="center"/>
          </w:tcPr>
          <w:p>
            <w:pPr>
              <w:pStyle w:val="30"/>
              <w:spacing w:line="560" w:lineRule="exact"/>
              <w:ind w:firstLine="380"/>
              <w:jc w:val="left"/>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过程</w:t>
            </w:r>
          </w:p>
        </w:tc>
        <w:tc>
          <w:tcPr>
            <w:tcW w:w="2045" w:type="dxa"/>
            <w:tcBorders>
              <w:top w:val="single" w:color="auto" w:sz="4" w:space="0"/>
              <w:left w:val="single" w:color="auto" w:sz="4" w:space="0"/>
            </w:tcBorders>
            <w:shd w:val="clear" w:color="auto" w:fill="FFFFFF"/>
            <w:vAlign w:val="center"/>
          </w:tcPr>
          <w:p>
            <w:pPr>
              <w:pStyle w:val="30"/>
              <w:spacing w:line="560" w:lineRule="exact"/>
              <w:ind w:firstLine="0"/>
              <w:jc w:val="center"/>
              <w:rPr>
                <w:rFonts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17</w:t>
            </w:r>
          </w:p>
        </w:tc>
        <w:tc>
          <w:tcPr>
            <w:tcW w:w="1951" w:type="dxa"/>
            <w:tcBorders>
              <w:top w:val="single" w:color="auto" w:sz="4" w:space="0"/>
              <w:left w:val="single" w:color="auto" w:sz="4" w:space="0"/>
            </w:tcBorders>
            <w:shd w:val="clear" w:color="auto" w:fill="FFFFFF"/>
            <w:vAlign w:val="center"/>
          </w:tcPr>
          <w:p>
            <w:pPr>
              <w:pStyle w:val="30"/>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12.5</w:t>
            </w:r>
          </w:p>
        </w:tc>
        <w:tc>
          <w:tcPr>
            <w:tcW w:w="3866" w:type="dxa"/>
            <w:tcBorders>
              <w:top w:val="single" w:color="auto" w:sz="4" w:space="0"/>
              <w:left w:val="single" w:color="auto" w:sz="4" w:space="0"/>
              <w:right w:val="single" w:color="auto" w:sz="4" w:space="0"/>
            </w:tcBorders>
            <w:shd w:val="clear" w:color="auto" w:fill="FFFFFF"/>
            <w:vAlign w:val="bottom"/>
          </w:tcPr>
          <w:p>
            <w:pPr>
              <w:pStyle w:val="30"/>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预算执行率扣4.5分</w:t>
            </w:r>
          </w:p>
        </w:tc>
      </w:tr>
      <w:tr>
        <w:tblPrEx>
          <w:tblCellMar>
            <w:top w:w="0" w:type="dxa"/>
            <w:left w:w="10" w:type="dxa"/>
            <w:bottom w:w="0" w:type="dxa"/>
            <w:right w:w="10" w:type="dxa"/>
          </w:tblCellMar>
        </w:tblPrEx>
        <w:trPr>
          <w:trHeight w:val="857" w:hRule="exact"/>
          <w:jc w:val="center"/>
        </w:trPr>
        <w:tc>
          <w:tcPr>
            <w:tcW w:w="1447" w:type="dxa"/>
            <w:tcBorders>
              <w:top w:val="single" w:color="auto" w:sz="4" w:space="0"/>
              <w:left w:val="single" w:color="auto" w:sz="4" w:space="0"/>
            </w:tcBorders>
            <w:shd w:val="clear" w:color="auto" w:fill="FFFFFF"/>
            <w:vAlign w:val="center"/>
          </w:tcPr>
          <w:p>
            <w:pPr>
              <w:pStyle w:val="30"/>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产出</w:t>
            </w:r>
          </w:p>
        </w:tc>
        <w:tc>
          <w:tcPr>
            <w:tcW w:w="2045" w:type="dxa"/>
            <w:tcBorders>
              <w:top w:val="single" w:color="auto" w:sz="4" w:space="0"/>
              <w:left w:val="single" w:color="auto" w:sz="4" w:space="0"/>
            </w:tcBorders>
            <w:shd w:val="clear" w:color="auto" w:fill="FFFFFF"/>
            <w:vAlign w:val="center"/>
          </w:tcPr>
          <w:p>
            <w:pPr>
              <w:pStyle w:val="30"/>
              <w:spacing w:line="560" w:lineRule="exact"/>
              <w:ind w:firstLine="0"/>
              <w:jc w:val="center"/>
              <w:rPr>
                <w:rFonts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30</w:t>
            </w:r>
          </w:p>
        </w:tc>
        <w:tc>
          <w:tcPr>
            <w:tcW w:w="1951" w:type="dxa"/>
            <w:tcBorders>
              <w:top w:val="single" w:color="auto" w:sz="4" w:space="0"/>
              <w:left w:val="single" w:color="auto" w:sz="4" w:space="0"/>
            </w:tcBorders>
            <w:shd w:val="clear" w:color="auto" w:fill="FFFFFF"/>
            <w:vAlign w:val="center"/>
          </w:tcPr>
          <w:p>
            <w:pPr>
              <w:pStyle w:val="30"/>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30</w:t>
            </w:r>
          </w:p>
        </w:tc>
        <w:tc>
          <w:tcPr>
            <w:tcW w:w="3866" w:type="dxa"/>
            <w:tcBorders>
              <w:top w:val="single" w:color="auto" w:sz="4" w:space="0"/>
              <w:left w:val="single" w:color="auto" w:sz="4" w:space="0"/>
              <w:right w:val="single" w:color="auto" w:sz="4" w:space="0"/>
            </w:tcBorders>
            <w:shd w:val="clear" w:color="auto" w:fill="FFFFFF"/>
            <w:vAlign w:val="center"/>
          </w:tcPr>
          <w:p>
            <w:pPr>
              <w:pStyle w:val="30"/>
              <w:spacing w:line="560" w:lineRule="exact"/>
              <w:ind w:firstLine="0"/>
              <w:rPr>
                <w:rFonts w:hint="eastAsia" w:ascii="仿宋_GB2312" w:hAnsi="仿宋_GB2312" w:eastAsia="仿宋_GB2312" w:cs="仿宋_GB2312"/>
                <w:color w:val="auto"/>
                <w:sz w:val="32"/>
                <w:szCs w:val="32"/>
                <w:highlight w:val="none"/>
                <w:lang w:val="en-US" w:eastAsia="zh-CN" w:bidi="ar-SA"/>
              </w:rPr>
            </w:pPr>
          </w:p>
        </w:tc>
      </w:tr>
      <w:tr>
        <w:tblPrEx>
          <w:tblCellMar>
            <w:top w:w="0" w:type="dxa"/>
            <w:left w:w="10" w:type="dxa"/>
            <w:bottom w:w="0" w:type="dxa"/>
            <w:right w:w="10" w:type="dxa"/>
          </w:tblCellMar>
        </w:tblPrEx>
        <w:trPr>
          <w:trHeight w:val="763" w:hRule="exact"/>
          <w:jc w:val="center"/>
        </w:trPr>
        <w:tc>
          <w:tcPr>
            <w:tcW w:w="1447" w:type="dxa"/>
            <w:tcBorders>
              <w:top w:val="single" w:color="auto" w:sz="4" w:space="0"/>
              <w:left w:val="single" w:color="auto" w:sz="4" w:space="0"/>
              <w:bottom w:val="single" w:color="auto" w:sz="4" w:space="0"/>
            </w:tcBorders>
            <w:shd w:val="clear" w:color="auto" w:fill="FFFFFF"/>
            <w:vAlign w:val="center"/>
          </w:tcPr>
          <w:p>
            <w:pPr>
              <w:pStyle w:val="30"/>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效益</w:t>
            </w:r>
          </w:p>
        </w:tc>
        <w:tc>
          <w:tcPr>
            <w:tcW w:w="2045" w:type="dxa"/>
            <w:tcBorders>
              <w:top w:val="single" w:color="auto" w:sz="4" w:space="0"/>
              <w:left w:val="single" w:color="auto" w:sz="4" w:space="0"/>
              <w:bottom w:val="single" w:color="auto" w:sz="4" w:space="0"/>
            </w:tcBorders>
            <w:shd w:val="clear" w:color="auto" w:fill="FFFFFF"/>
            <w:vAlign w:val="center"/>
          </w:tcPr>
          <w:p>
            <w:pPr>
              <w:pStyle w:val="30"/>
              <w:spacing w:line="560" w:lineRule="exact"/>
              <w:ind w:firstLine="0"/>
              <w:jc w:val="center"/>
              <w:rPr>
                <w:rFonts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30</w:t>
            </w:r>
          </w:p>
        </w:tc>
        <w:tc>
          <w:tcPr>
            <w:tcW w:w="1951" w:type="dxa"/>
            <w:tcBorders>
              <w:top w:val="single" w:color="auto" w:sz="4" w:space="0"/>
              <w:left w:val="single" w:color="auto" w:sz="4" w:space="0"/>
              <w:bottom w:val="single" w:color="auto" w:sz="4" w:space="0"/>
            </w:tcBorders>
            <w:shd w:val="clear" w:color="auto" w:fill="FFFFFF"/>
            <w:vAlign w:val="center"/>
          </w:tcPr>
          <w:p>
            <w:pPr>
              <w:pStyle w:val="30"/>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30</w:t>
            </w:r>
          </w:p>
        </w:tc>
        <w:tc>
          <w:tcPr>
            <w:tcW w:w="3866" w:type="dxa"/>
            <w:tcBorders>
              <w:top w:val="single" w:color="auto" w:sz="4" w:space="0"/>
              <w:left w:val="single" w:color="auto" w:sz="4" w:space="0"/>
              <w:bottom w:val="single" w:color="auto" w:sz="4" w:space="0"/>
              <w:right w:val="single" w:color="auto" w:sz="4" w:space="0"/>
            </w:tcBorders>
            <w:shd w:val="clear" w:color="auto" w:fill="FFFFFF"/>
            <w:vAlign w:val="top"/>
          </w:tcPr>
          <w:p>
            <w:pPr>
              <w:spacing w:line="560" w:lineRule="exact"/>
              <w:rPr>
                <w:rFonts w:hint="eastAsia" w:ascii="仿宋_GB2312" w:hAnsi="仿宋_GB2312" w:cs="仿宋_GB2312"/>
                <w:color w:val="auto"/>
                <w:sz w:val="32"/>
                <w:szCs w:val="32"/>
                <w:highlight w:val="none"/>
              </w:rPr>
            </w:pPr>
          </w:p>
        </w:tc>
      </w:tr>
      <w:tr>
        <w:tblPrEx>
          <w:tblCellMar>
            <w:top w:w="0" w:type="dxa"/>
            <w:left w:w="10" w:type="dxa"/>
            <w:bottom w:w="0" w:type="dxa"/>
            <w:right w:w="10" w:type="dxa"/>
          </w:tblCellMar>
        </w:tblPrEx>
        <w:trPr>
          <w:trHeight w:val="763" w:hRule="exact"/>
          <w:jc w:val="center"/>
        </w:trPr>
        <w:tc>
          <w:tcPr>
            <w:tcW w:w="1447" w:type="dxa"/>
            <w:tcBorders>
              <w:top w:val="single" w:color="auto" w:sz="4" w:space="0"/>
              <w:left w:val="single" w:color="auto" w:sz="4" w:space="0"/>
              <w:bottom w:val="single" w:color="auto" w:sz="4" w:space="0"/>
            </w:tcBorders>
            <w:shd w:val="clear" w:color="auto" w:fill="FFFFFF"/>
            <w:vAlign w:val="center"/>
          </w:tcPr>
          <w:p>
            <w:pPr>
              <w:pStyle w:val="30"/>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合计</w:t>
            </w:r>
          </w:p>
        </w:tc>
        <w:tc>
          <w:tcPr>
            <w:tcW w:w="2045" w:type="dxa"/>
            <w:tcBorders>
              <w:top w:val="single" w:color="auto" w:sz="4" w:space="0"/>
              <w:left w:val="single" w:color="auto" w:sz="4" w:space="0"/>
              <w:bottom w:val="single" w:color="auto" w:sz="4" w:space="0"/>
            </w:tcBorders>
            <w:shd w:val="clear" w:color="auto" w:fill="FFFFFF"/>
            <w:vAlign w:val="center"/>
          </w:tcPr>
          <w:p>
            <w:pPr>
              <w:pStyle w:val="30"/>
              <w:spacing w:line="560" w:lineRule="exact"/>
              <w:ind w:firstLine="0"/>
              <w:jc w:val="center"/>
              <w:rPr>
                <w:rFonts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100</w:t>
            </w:r>
          </w:p>
        </w:tc>
        <w:tc>
          <w:tcPr>
            <w:tcW w:w="1951" w:type="dxa"/>
            <w:tcBorders>
              <w:top w:val="single" w:color="auto" w:sz="4" w:space="0"/>
              <w:left w:val="single" w:color="auto" w:sz="4" w:space="0"/>
              <w:bottom w:val="single" w:color="auto" w:sz="4" w:space="0"/>
            </w:tcBorders>
            <w:shd w:val="clear" w:color="auto" w:fill="FFFFFF"/>
            <w:vAlign w:val="center"/>
          </w:tcPr>
          <w:p>
            <w:pPr>
              <w:pStyle w:val="30"/>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95.5</w:t>
            </w:r>
          </w:p>
        </w:tc>
        <w:tc>
          <w:tcPr>
            <w:tcW w:w="3866" w:type="dxa"/>
            <w:tcBorders>
              <w:top w:val="single" w:color="auto" w:sz="4" w:space="0"/>
              <w:left w:val="single" w:color="auto" w:sz="4" w:space="0"/>
              <w:bottom w:val="single" w:color="auto" w:sz="4" w:space="0"/>
              <w:right w:val="single" w:color="auto" w:sz="4" w:space="0"/>
            </w:tcBorders>
            <w:shd w:val="clear" w:color="auto" w:fill="FFFFFF"/>
            <w:vAlign w:val="top"/>
          </w:tcPr>
          <w:p>
            <w:pPr>
              <w:spacing w:line="560" w:lineRule="exact"/>
              <w:rPr>
                <w:rFonts w:hint="eastAsia" w:ascii="仿宋_GB2312" w:hAnsi="仿宋_GB2312" w:cs="仿宋_GB2312"/>
                <w:color w:val="auto"/>
                <w:sz w:val="32"/>
                <w:szCs w:val="32"/>
                <w:highlight w:val="none"/>
              </w:rPr>
            </w:pPr>
          </w:p>
        </w:tc>
      </w:tr>
    </w:tbl>
    <w:p>
      <w:pPr>
        <w:snapToGrid w:val="0"/>
        <w:spacing w:line="560" w:lineRule="exact"/>
        <w:ind w:firstLine="482" w:firstLineChars="150"/>
        <w:jc w:val="left"/>
        <w:rPr>
          <w:rFonts w:hint="eastAsia"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rPr>
        <w:t>（二）评价结论</w:t>
      </w:r>
    </w:p>
    <w:p>
      <w:pPr>
        <w:snapToGrid w:val="0"/>
        <w:spacing w:line="560" w:lineRule="exact"/>
        <w:ind w:firstLine="640" w:firstLineChars="200"/>
        <w:jc w:val="left"/>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CN"/>
        </w:rPr>
        <w:t>2024年市级、乡级河流权籍调查勘界项目</w:t>
      </w:r>
      <w:r>
        <w:rPr>
          <w:rFonts w:hint="eastAsia" w:ascii="仿宋_GB2312" w:hAnsi="仿宋_GB2312" w:cs="仿宋_GB2312"/>
          <w:color w:val="auto"/>
          <w:sz w:val="32"/>
          <w:szCs w:val="32"/>
          <w:highlight w:val="none"/>
        </w:rPr>
        <w:t>资金达到了年初设立的绩效目标，在实施过程中取得了良好的成效，具体表现在以下几点：</w:t>
      </w:r>
    </w:p>
    <w:p>
      <w:pPr>
        <w:snapToGrid w:val="0"/>
        <w:spacing w:line="560" w:lineRule="exact"/>
        <w:ind w:firstLine="640" w:firstLineChars="200"/>
        <w:jc w:val="left"/>
        <w:rPr>
          <w:rFonts w:hint="eastAsia" w:ascii="仿宋_GB2312" w:hAnsi="仿宋_GB2312" w:cs="仿宋_GB2312"/>
          <w:color w:val="auto"/>
          <w:sz w:val="32"/>
          <w:szCs w:val="32"/>
          <w:highlight w:val="none"/>
          <w:lang w:eastAsia="zh-CN"/>
        </w:rPr>
      </w:pPr>
      <w:r>
        <w:rPr>
          <w:rFonts w:hint="eastAsia" w:ascii="仿宋_GB2312" w:hAnsi="仿宋_GB2312" w:cs="仿宋_GB2312"/>
          <w:color w:val="auto"/>
          <w:sz w:val="32"/>
          <w:szCs w:val="32"/>
          <w:highlight w:val="none"/>
        </w:rPr>
        <w:t>通过本项目的实施202</w:t>
      </w:r>
      <w:r>
        <w:rPr>
          <w:rFonts w:ascii="仿宋_GB2312" w:hAnsi="仿宋_GB2312" w:cs="仿宋_GB2312"/>
          <w:color w:val="auto"/>
          <w:sz w:val="32"/>
          <w:szCs w:val="32"/>
          <w:highlight w:val="none"/>
        </w:rPr>
        <w:t>4</w:t>
      </w:r>
      <w:r>
        <w:rPr>
          <w:rFonts w:hint="eastAsia" w:ascii="仿宋_GB2312" w:hAnsi="仿宋_GB2312" w:cs="仿宋_GB2312"/>
          <w:color w:val="auto"/>
          <w:sz w:val="32"/>
          <w:szCs w:val="32"/>
          <w:highlight w:val="none"/>
        </w:rPr>
        <w:t>年已完成聘请第三方服务公司1家，涉及建设项目1个等工作；通过该项目的实施解决河湖管护突出问题，着力构建归属清晰、权责明确、监管有效的水利产权制度</w:t>
      </w:r>
      <w:r>
        <w:rPr>
          <w:rFonts w:hint="eastAsia" w:ascii="仿宋_GB2312" w:hAnsi="仿宋_GB2312" w:cs="仿宋_GB2312"/>
          <w:color w:val="auto"/>
          <w:sz w:val="32"/>
          <w:szCs w:val="32"/>
          <w:highlight w:val="none"/>
          <w:lang w:eastAsia="zh-CN"/>
        </w:rPr>
        <w:t>。</w:t>
      </w:r>
    </w:p>
    <w:p>
      <w:pPr>
        <w:snapToGrid w:val="0"/>
        <w:spacing w:line="560" w:lineRule="exact"/>
        <w:ind w:firstLine="640" w:firstLineChars="200"/>
        <w:jc w:val="left"/>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全年</w:t>
      </w:r>
      <w:r>
        <w:rPr>
          <w:rFonts w:hint="eastAsia" w:ascii="仿宋_GB2312" w:hAnsi="仿宋" w:cs="宋体"/>
          <w:color w:val="auto"/>
          <w:kern w:val="0"/>
          <w:sz w:val="32"/>
          <w:szCs w:val="32"/>
          <w:highlight w:val="none"/>
          <w:lang w:eastAsia="zh-CN"/>
        </w:rPr>
        <w:t>2024年市级、乡级河流权籍调查勘界项目</w:t>
      </w:r>
      <w:r>
        <w:rPr>
          <w:rFonts w:hint="eastAsia" w:ascii="仿宋_GB2312" w:hAnsi="仿宋_GB2312" w:cs="仿宋_GB2312"/>
          <w:color w:val="auto"/>
          <w:sz w:val="32"/>
          <w:szCs w:val="32"/>
          <w:highlight w:val="none"/>
        </w:rPr>
        <w:t>支出共计</w:t>
      </w:r>
      <w:r>
        <w:rPr>
          <w:rFonts w:hint="eastAsia" w:ascii="仿宋_GB2312" w:hAnsi="仿宋_GB2312" w:cs="仿宋_GB2312"/>
          <w:color w:val="auto"/>
          <w:sz w:val="32"/>
          <w:szCs w:val="32"/>
          <w:highlight w:val="none"/>
          <w:lang w:val="en-US" w:eastAsia="zh-CN"/>
        </w:rPr>
        <w:t>45.74</w:t>
      </w:r>
      <w:r>
        <w:rPr>
          <w:rFonts w:hint="eastAsia" w:ascii="仿宋_GB2312" w:hAnsi="仿宋_GB2312" w:cs="仿宋_GB2312"/>
          <w:color w:val="auto"/>
          <w:sz w:val="32"/>
          <w:szCs w:val="32"/>
          <w:highlight w:val="none"/>
        </w:rPr>
        <w:t>万元，评价得分值</w:t>
      </w:r>
      <w:r>
        <w:rPr>
          <w:rFonts w:hint="eastAsia" w:ascii="仿宋_GB2312" w:hAnsi="仿宋_GB2312" w:cs="仿宋_GB2312"/>
          <w:color w:val="auto"/>
          <w:sz w:val="32"/>
          <w:szCs w:val="32"/>
          <w:highlight w:val="none"/>
          <w:lang w:val="en-US" w:eastAsia="zh-CN"/>
        </w:rPr>
        <w:t>95.5</w:t>
      </w:r>
      <w:r>
        <w:rPr>
          <w:rFonts w:hint="eastAsia" w:ascii="仿宋_GB2312" w:hAnsi="仿宋_GB2312" w:cs="仿宋_GB2312"/>
          <w:color w:val="auto"/>
          <w:sz w:val="32"/>
          <w:szCs w:val="32"/>
          <w:highlight w:val="none"/>
        </w:rPr>
        <w:t>分。</w:t>
      </w:r>
    </w:p>
    <w:p>
      <w:pPr>
        <w:snapToGrid w:val="0"/>
        <w:spacing w:line="560" w:lineRule="exact"/>
        <w:ind w:firstLine="640" w:firstLineChars="200"/>
        <w:rPr>
          <w:rFonts w:hint="eastAsia" w:ascii="黑体" w:hAnsi="黑体" w:eastAsia="黑体" w:cs="仿宋_GB2312"/>
          <w:color w:val="auto"/>
          <w:sz w:val="32"/>
          <w:szCs w:val="32"/>
          <w:highlight w:val="none"/>
        </w:rPr>
      </w:pPr>
      <w:r>
        <w:rPr>
          <w:rFonts w:hint="eastAsia" w:ascii="黑体" w:hAnsi="黑体" w:eastAsia="黑体" w:cs="仿宋_GB2312"/>
          <w:color w:val="auto"/>
          <w:sz w:val="32"/>
          <w:szCs w:val="32"/>
          <w:highlight w:val="none"/>
        </w:rPr>
        <w:t>四、绩效评价指标分析</w:t>
      </w:r>
    </w:p>
    <w:p>
      <w:pPr>
        <w:snapToGrid w:val="0"/>
        <w:spacing w:line="560" w:lineRule="exact"/>
        <w:ind w:firstLine="643" w:firstLineChars="200"/>
        <w:outlineLvl w:val="0"/>
        <w:rPr>
          <w:rFonts w:hint="eastAsia" w:ascii="楷体" w:hAnsi="楷体" w:eastAsia="楷体" w:cs="仿宋_GB2312"/>
          <w:b/>
          <w:bCs/>
          <w:color w:val="auto"/>
          <w:sz w:val="32"/>
          <w:szCs w:val="32"/>
          <w:highlight w:val="none"/>
        </w:rPr>
      </w:pPr>
      <w:r>
        <w:rPr>
          <w:rFonts w:hint="eastAsia" w:ascii="楷体" w:hAnsi="楷体" w:eastAsia="楷体" w:cs="仿宋_GB2312"/>
          <w:b/>
          <w:bCs/>
          <w:color w:val="auto"/>
          <w:sz w:val="32"/>
          <w:szCs w:val="32"/>
          <w:highlight w:val="none"/>
        </w:rPr>
        <w:t>（一）项目决策情况。</w:t>
      </w:r>
    </w:p>
    <w:p>
      <w:pPr>
        <w:pStyle w:val="25"/>
        <w:spacing w:line="560" w:lineRule="exact"/>
        <w:ind w:firstLine="640"/>
        <w:rPr>
          <w:rFonts w:hint="eastAsia" w:ascii="仿宋_GB2312" w:hAnsi="仿宋" w:cs="宋体"/>
          <w:color w:val="auto"/>
          <w:sz w:val="32"/>
          <w:szCs w:val="32"/>
          <w:highlight w:val="none"/>
        </w:rPr>
      </w:pPr>
      <w:r>
        <w:rPr>
          <w:rFonts w:hint="eastAsia" w:ascii="仿宋_GB2312" w:hAnsi="仿宋" w:cs="宋体"/>
          <w:color w:val="auto"/>
          <w:sz w:val="32"/>
          <w:szCs w:val="32"/>
          <w:highlight w:val="none"/>
        </w:rPr>
        <w:t>本项目的立项符合相关法规政策及部门职责，依据充分；项目严格按照规定的程序申请设立；审批文件、材料符合相关要求；项目前期已经过必要的可行性研究、专家论证、风险评估、绩效评估、集体决策。</w:t>
      </w:r>
    </w:p>
    <w:p>
      <w:pPr>
        <w:spacing w:line="560" w:lineRule="exact"/>
        <w:ind w:firstLine="640" w:firstLineChars="200"/>
        <w:rPr>
          <w:rFonts w:hint="eastAsia" w:ascii="仿宋_GB2312" w:hAnsi="仿宋" w:cs="宋体"/>
          <w:color w:val="auto"/>
          <w:sz w:val="32"/>
          <w:szCs w:val="32"/>
          <w:highlight w:val="none"/>
        </w:rPr>
      </w:pPr>
      <w:r>
        <w:rPr>
          <w:rFonts w:hint="eastAsia" w:ascii="仿宋_GB2312" w:hAnsi="仿宋" w:cs="宋体"/>
          <w:color w:val="auto"/>
          <w:sz w:val="32"/>
          <w:szCs w:val="32"/>
          <w:highlight w:val="none"/>
        </w:rPr>
        <w:t>项目根据相关文件要求设置了绩效目标，项目绩效目标基本合理，绩效目标与实际工作内容相关；项目预期产出效益和效果符合正常的业绩水平；目标设置与预算确定的项目投资额或资金量相匹配。严格按照要求将项目绩效目标细化分解为具体的绩效指标并通过清晰、可衡量的指标值予以体现；与项目目标任务数或计划数相对应。</w:t>
      </w:r>
    </w:p>
    <w:p>
      <w:pPr>
        <w:snapToGrid w:val="0"/>
        <w:spacing w:line="560" w:lineRule="exact"/>
        <w:ind w:firstLine="640" w:firstLineChars="200"/>
        <w:outlineLvl w:val="0"/>
        <w:rPr>
          <w:rFonts w:hint="eastAsia" w:ascii="仿宋_GB2312" w:hAnsi="仿宋_GB2312" w:cs="仿宋_GB2312"/>
          <w:color w:val="auto"/>
          <w:sz w:val="32"/>
          <w:szCs w:val="32"/>
          <w:highlight w:val="none"/>
        </w:rPr>
      </w:pPr>
      <w:r>
        <w:rPr>
          <w:rFonts w:hint="eastAsia" w:ascii="仿宋_GB2312" w:hAnsi="仿宋" w:cs="宋体"/>
          <w:color w:val="auto"/>
          <w:sz w:val="32"/>
          <w:szCs w:val="32"/>
          <w:highlight w:val="none"/>
        </w:rPr>
        <w:t>项目在资金投入方面，预算编制经过科学论证、有明确标准，资金额度与年度目标相适应，用以反映和考核项目预算编制的科学性、合理性情况。项目预算资金分配有测算依据，与补助单位或地方实际相适应。</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3" w:firstLineChars="200"/>
        <w:rPr>
          <w:rFonts w:hint="eastAsia" w:ascii="楷体" w:hAnsi="楷体" w:eastAsia="楷体" w:cs="仿宋_GB2312"/>
          <w:b/>
          <w:bCs/>
          <w:color w:val="auto"/>
          <w:sz w:val="32"/>
          <w:szCs w:val="32"/>
          <w:highlight w:val="none"/>
        </w:rPr>
      </w:pPr>
      <w:r>
        <w:rPr>
          <w:rFonts w:hint="eastAsia" w:ascii="楷体" w:hAnsi="楷体" w:eastAsia="楷体" w:cs="仿宋_GB2312"/>
          <w:b/>
          <w:bCs/>
          <w:color w:val="auto"/>
          <w:sz w:val="32"/>
          <w:szCs w:val="32"/>
          <w:highlight w:val="none"/>
        </w:rPr>
        <w:t>（二）项目过程情况。</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3" w:firstLineChars="200"/>
        <w:rPr>
          <w:rFonts w:hint="eastAsia" w:ascii="仿宋_GB2312" w:hAnsi="仿宋" w:cs="宋体"/>
          <w:b/>
          <w:color w:val="auto"/>
          <w:sz w:val="32"/>
          <w:szCs w:val="32"/>
          <w:highlight w:val="none"/>
        </w:rPr>
      </w:pPr>
      <w:r>
        <w:rPr>
          <w:rFonts w:hint="eastAsia" w:ascii="仿宋_GB2312" w:hAnsi="仿宋" w:cs="宋体"/>
          <w:b/>
          <w:color w:val="auto"/>
          <w:sz w:val="32"/>
          <w:szCs w:val="32"/>
          <w:highlight w:val="none"/>
        </w:rPr>
        <w:t>1．资金管理</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hAnsi="仿宋_GB2312" w:cs="仿宋_GB2312"/>
          <w:color w:val="auto"/>
          <w:sz w:val="32"/>
          <w:szCs w:val="32"/>
          <w:highlight w:val="none"/>
        </w:rPr>
      </w:pPr>
      <w:r>
        <w:rPr>
          <w:rFonts w:hint="eastAsia" w:ascii="仿宋_GB2312" w:hAnsi="仿宋" w:cs="宋体"/>
          <w:color w:val="auto"/>
          <w:sz w:val="32"/>
          <w:szCs w:val="32"/>
          <w:highlight w:val="none"/>
        </w:rPr>
        <w:t>在资金管理方面，项目资金到位足额及时，并及时支付，资金使用符合国家法规和财务管理制度；资金拨付有完整的审批程序和手续，符合项目预算批复或合同规定的用途；不存在截留、挤占、挪用、虚列支出等情况。</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3" w:firstLineChars="200"/>
        <w:rPr>
          <w:rFonts w:hint="eastAsia" w:ascii="仿宋_GB2312" w:hAnsi="仿宋" w:cs="宋体"/>
          <w:b/>
          <w:color w:val="auto"/>
          <w:sz w:val="32"/>
          <w:szCs w:val="32"/>
          <w:highlight w:val="none"/>
        </w:rPr>
      </w:pPr>
      <w:r>
        <w:rPr>
          <w:rFonts w:hint="eastAsia" w:ascii="仿宋_GB2312" w:hAnsi="仿宋" w:cs="宋体"/>
          <w:b/>
          <w:color w:val="auto"/>
          <w:sz w:val="32"/>
          <w:szCs w:val="32"/>
          <w:highlight w:val="none"/>
        </w:rPr>
        <w:t>2．项目实施</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（1）项目管理制度建设方面</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对项目申请进行严格审核、筛选。根据拟申请预算项目，从相关性、预期绩效的可实现性、实施方案的有效性、预期绩效的可持续性及财政资金投入的可行性风险五个方面进行客观、公正的评估。</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评估结果作为申报2025年</w:t>
      </w:r>
      <w:r>
        <w:rPr>
          <w:rFonts w:hint="eastAsia" w:ascii="仿宋_GB2312" w:hAnsi="仿宋_GB2312" w:cs="仿宋_GB2312"/>
          <w:color w:val="auto"/>
          <w:sz w:val="32"/>
          <w:szCs w:val="32"/>
          <w:highlight w:val="none"/>
          <w:lang w:eastAsia="zh-CN"/>
        </w:rPr>
        <w:t>市级、乡级河流权籍调查勘界项目</w:t>
      </w:r>
      <w:r>
        <w:rPr>
          <w:rFonts w:hint="eastAsia" w:ascii="仿宋_GB2312" w:hAnsi="仿宋_GB2312" w:cs="仿宋_GB2312"/>
          <w:color w:val="auto"/>
          <w:sz w:val="32"/>
          <w:szCs w:val="32"/>
          <w:highlight w:val="none"/>
        </w:rPr>
        <w:t>预算依据。继而进行该项目支出预算的编制、执行和上报等工作。在项目预算的编制工程中，坚持履行政府职能方面的轻重缓急程度进行先后排序，坚持对</w:t>
      </w:r>
      <w:r>
        <w:rPr>
          <w:rFonts w:hint="eastAsia" w:ascii="仿宋_GB2312" w:hAnsi="仿宋_GB2312" w:cs="仿宋_GB2312"/>
          <w:color w:val="auto"/>
          <w:sz w:val="32"/>
          <w:szCs w:val="32"/>
          <w:highlight w:val="none"/>
          <w:lang w:eastAsia="zh-CN"/>
        </w:rPr>
        <w:t>2024年市级、乡级河流权籍调查勘界项目</w:t>
      </w:r>
      <w:r>
        <w:rPr>
          <w:rFonts w:hint="eastAsia" w:ascii="仿宋_GB2312" w:hAnsi="仿宋_GB2312" w:cs="仿宋_GB2312"/>
          <w:color w:val="auto"/>
          <w:sz w:val="32"/>
          <w:szCs w:val="32"/>
          <w:highlight w:val="none"/>
        </w:rPr>
        <w:t>先进行论证，结合论证情况编制预算，最后由预算部门结合财力情况进行预算安排或追加。</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（2）日常检查监督管理方面</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完善监管规章制度。在项目预算的执行过程中，会同阿图什市财政局从资金申请、资金使用、会计核算三个环节加强资金管理。在项目资金申请环节，负责科室严格按照国库集中支付流程向市财政局申请财政资金，我局通过召开党组会议确定</w:t>
      </w:r>
      <w:r>
        <w:rPr>
          <w:rFonts w:hint="eastAsia" w:ascii="仿宋_GB2312" w:hAnsi="仿宋_GB2312" w:cs="仿宋_GB2312"/>
          <w:color w:val="auto"/>
          <w:sz w:val="32"/>
          <w:szCs w:val="32"/>
          <w:highlight w:val="none"/>
          <w:lang w:eastAsia="zh-CN"/>
        </w:rPr>
        <w:t>2024年市级、乡级河流权籍调查勘界项目</w:t>
      </w:r>
      <w:r>
        <w:rPr>
          <w:rFonts w:hint="eastAsia" w:ascii="仿宋_GB2312" w:hAnsi="仿宋_GB2312" w:cs="仿宋_GB2312"/>
          <w:color w:val="auto"/>
          <w:sz w:val="32"/>
          <w:szCs w:val="32"/>
          <w:highlight w:val="none"/>
        </w:rPr>
        <w:t>组织形式，明确了该项目经费的开支范围为</w:t>
      </w:r>
      <w:r>
        <w:rPr>
          <w:rFonts w:hint="eastAsia" w:ascii="仿宋_GB2312" w:hAnsi="仿宋_GB2312" w:cs="仿宋_GB2312"/>
          <w:color w:val="auto"/>
          <w:sz w:val="32"/>
          <w:szCs w:val="32"/>
          <w:highlight w:val="none"/>
          <w:lang w:eastAsia="zh-CN"/>
        </w:rPr>
        <w:t>2024年市级、乡级河流权籍调查勘界</w:t>
      </w:r>
      <w:r>
        <w:rPr>
          <w:rFonts w:hint="eastAsia" w:ascii="仿宋_GB2312" w:hAnsi="仿宋_GB2312" w:cs="仿宋_GB2312"/>
          <w:color w:val="auto"/>
          <w:sz w:val="32"/>
          <w:szCs w:val="32"/>
          <w:highlight w:val="none"/>
          <w:lang w:val="en-US" w:eastAsia="zh-CN"/>
        </w:rPr>
        <w:t>资金</w:t>
      </w:r>
      <w:r>
        <w:rPr>
          <w:rFonts w:hint="eastAsia" w:ascii="仿宋_GB2312" w:hAnsi="仿宋_GB2312" w:cs="仿宋_GB2312"/>
          <w:color w:val="auto"/>
          <w:sz w:val="32"/>
          <w:szCs w:val="32"/>
          <w:highlight w:val="none"/>
        </w:rPr>
        <w:t>，严格做到专款专用，责任到人。在资金使用环节，严格遵守相关规定，严格按照我局资金财务审批流程办理款项支付。在会计核算环节，对本项目资金实行单独核算，确保部门预算资金专款专用。</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（3）运用财务内控系统实时监管</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年初将财政批复的部门预算资金预算指标整体导入，对预算指标按照项目分类，从数量、质量、时效、满意度等方面分别进行管理控制，监控、掌握预算实时信息，通过不定期检查预算执行情况，增强预算指标刚性。</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val="en-US" w:eastAsia="zh-CN"/>
        </w:rPr>
        <w:t>4</w:t>
      </w:r>
      <w:r>
        <w:rPr>
          <w:rFonts w:hint="eastAsia" w:ascii="仿宋_GB2312" w:hAnsi="仿宋_GB2312" w:cs="仿宋_GB2312"/>
          <w:color w:val="auto"/>
          <w:sz w:val="32"/>
          <w:szCs w:val="32"/>
          <w:highlight w:val="none"/>
        </w:rPr>
        <w:t>）依照财政资金管理制度，按照不定期检查与项目周期检查相结合的方式，对财政资金的使用情况进行监督检查。重点督查专项资金的使用进度，资金落实情况，对发现的问题，采取措施及时纠正、强化管理，确保专项资金安全使用。</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jc w:val="left"/>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CN"/>
        </w:rPr>
        <w:t>2024年市级、乡级河流权籍调查勘界项目</w:t>
      </w:r>
      <w:r>
        <w:rPr>
          <w:rFonts w:hint="eastAsia" w:ascii="仿宋_GB2312" w:hAnsi="仿宋_GB2312" w:cs="仿宋_GB2312"/>
          <w:color w:val="auto"/>
          <w:sz w:val="32"/>
          <w:szCs w:val="32"/>
          <w:highlight w:val="none"/>
        </w:rPr>
        <w:t>在实施阶段均制定了具体的组织实施文件，各个项目均经过项目申报、项目评审、项目核准备案、资金拨付、项目验收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组织项目验收等。</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jc w:val="left"/>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本次评价认为：该项目组织机构设置合理，政策及管理办法基本完善，所有项目均按照流程执行，中期有检查，后期有验收。</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3" w:firstLineChars="200"/>
        <w:rPr>
          <w:rFonts w:hint="eastAsia" w:ascii="楷体" w:hAnsi="楷体" w:eastAsia="楷体" w:cs="仿宋_GB2312"/>
          <w:b/>
          <w:color w:val="auto"/>
          <w:sz w:val="32"/>
          <w:szCs w:val="32"/>
          <w:highlight w:val="none"/>
        </w:rPr>
      </w:pPr>
      <w:r>
        <w:rPr>
          <w:rFonts w:hint="eastAsia" w:ascii="楷体" w:hAnsi="楷体" w:eastAsia="楷体" w:cs="仿宋_GB2312"/>
          <w:b/>
          <w:color w:val="auto"/>
          <w:sz w:val="32"/>
          <w:szCs w:val="32"/>
          <w:highlight w:val="none"/>
        </w:rPr>
        <w:t>（三）项目产出情况</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3" w:firstLineChars="200"/>
        <w:rPr>
          <w:rFonts w:hint="eastAsia"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1．数量指标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textAlignment w:val="auto"/>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数量指标为聘请第三方服务公司，预期指标值是</w:t>
      </w:r>
      <w:r>
        <w:rPr>
          <w:rFonts w:hint="eastAsia" w:ascii="仿宋_GB2312" w:hAnsi="仿宋_GB2312" w:cs="仿宋_GB2312"/>
          <w:color w:val="auto"/>
          <w:sz w:val="32"/>
          <w:szCs w:val="32"/>
          <w:highlight w:val="none"/>
          <w:lang w:eastAsia="zh-CN"/>
        </w:rPr>
        <w:t>等于</w:t>
      </w:r>
      <w:r>
        <w:rPr>
          <w:rFonts w:hint="eastAsia" w:ascii="仿宋_GB2312" w:hAnsi="仿宋_GB2312" w:cs="仿宋_GB2312"/>
          <w:color w:val="auto"/>
          <w:sz w:val="32"/>
          <w:szCs w:val="32"/>
          <w:highlight w:val="none"/>
        </w:rPr>
        <w:t>1家，实际完成值是</w:t>
      </w:r>
      <w:r>
        <w:rPr>
          <w:rFonts w:hint="eastAsia" w:ascii="仿宋_GB2312" w:hAnsi="仿宋_GB2312" w:cs="仿宋_GB2312"/>
          <w:color w:val="auto"/>
          <w:sz w:val="32"/>
          <w:szCs w:val="32"/>
          <w:highlight w:val="none"/>
          <w:lang w:eastAsia="zh-CN"/>
        </w:rPr>
        <w:t>等于</w:t>
      </w:r>
      <w:r>
        <w:rPr>
          <w:rFonts w:hint="eastAsia" w:ascii="仿宋_GB2312" w:hAnsi="仿宋_GB2312" w:cs="仿宋_GB2312"/>
          <w:color w:val="auto"/>
          <w:sz w:val="32"/>
          <w:szCs w:val="32"/>
          <w:highlight w:val="none"/>
        </w:rPr>
        <w:t>1家，指标达到预期目标。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textAlignment w:val="auto"/>
        <w:rPr>
          <w:rFonts w:hint="eastAsia" w:ascii="仿宋_GB2312"/>
          <w:color w:val="auto"/>
          <w:sz w:val="32"/>
          <w:szCs w:val="32"/>
          <w:highlight w:val="none"/>
        </w:rPr>
      </w:pPr>
      <w:r>
        <w:rPr>
          <w:rFonts w:hint="eastAsia" w:ascii="仿宋_GB2312" w:hAnsi="仿宋_GB2312" w:cs="仿宋_GB2312"/>
          <w:color w:val="auto"/>
          <w:sz w:val="32"/>
          <w:szCs w:val="32"/>
          <w:highlight w:val="none"/>
        </w:rPr>
        <w:t>数量指标为涉及建设项目，预期指标值是</w:t>
      </w:r>
      <w:r>
        <w:rPr>
          <w:rFonts w:hint="eastAsia" w:ascii="仿宋_GB2312" w:hAnsi="仿宋_GB2312" w:cs="仿宋_GB2312"/>
          <w:color w:val="auto"/>
          <w:sz w:val="32"/>
          <w:szCs w:val="32"/>
          <w:highlight w:val="none"/>
          <w:lang w:eastAsia="zh-CN"/>
        </w:rPr>
        <w:t>等于</w:t>
      </w:r>
      <w:r>
        <w:rPr>
          <w:rFonts w:hint="eastAsia" w:ascii="仿宋_GB2312" w:hAnsi="仿宋_GB2312" w:cs="仿宋_GB2312"/>
          <w:color w:val="auto"/>
          <w:sz w:val="32"/>
          <w:szCs w:val="32"/>
          <w:highlight w:val="none"/>
        </w:rPr>
        <w:t>1个，实际完成值是</w:t>
      </w:r>
      <w:r>
        <w:rPr>
          <w:rFonts w:hint="eastAsia" w:ascii="仿宋_GB2312" w:hAnsi="仿宋_GB2312" w:cs="仿宋_GB2312"/>
          <w:color w:val="auto"/>
          <w:sz w:val="32"/>
          <w:szCs w:val="32"/>
          <w:highlight w:val="none"/>
          <w:lang w:eastAsia="zh-CN"/>
        </w:rPr>
        <w:t>等于</w:t>
      </w:r>
      <w:r>
        <w:rPr>
          <w:rFonts w:hint="eastAsia" w:ascii="仿宋_GB2312" w:hAnsi="仿宋_GB2312" w:cs="仿宋_GB2312"/>
          <w:color w:val="auto"/>
          <w:sz w:val="32"/>
          <w:szCs w:val="32"/>
          <w:highlight w:val="none"/>
        </w:rPr>
        <w:t>1个，指标达到预期目标。</w:t>
      </w:r>
    </w:p>
    <w:p>
      <w:pPr>
        <w:numPr>
          <w:ilvl w:val="0"/>
          <w:numId w:val="3"/>
        </w:num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3" w:firstLineChars="200"/>
        <w:rPr>
          <w:rFonts w:hint="eastAsia" w:ascii="仿宋_GB2312"/>
          <w:color w:val="auto"/>
          <w:sz w:val="32"/>
          <w:szCs w:val="32"/>
          <w:highlight w:val="none"/>
        </w:rPr>
      </w:pPr>
      <w:r>
        <w:rPr>
          <w:rFonts w:hint="eastAsia" w:ascii="仿宋_GB2312"/>
          <w:b/>
          <w:color w:val="auto"/>
          <w:sz w:val="32"/>
          <w:szCs w:val="32"/>
          <w:highlight w:val="none"/>
        </w:rPr>
        <w:t>质量指标</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color w:val="auto"/>
          <w:sz w:val="32"/>
          <w:szCs w:val="32"/>
          <w:highlight w:val="none"/>
        </w:rPr>
      </w:pPr>
      <w:r>
        <w:rPr>
          <w:rFonts w:hint="eastAsia" w:ascii="仿宋_GB2312"/>
          <w:color w:val="auto"/>
          <w:sz w:val="32"/>
          <w:szCs w:val="32"/>
          <w:highlight w:val="none"/>
        </w:rPr>
        <w:t>质量指标为第三方工作质量达标率，预期指标值是</w:t>
      </w:r>
      <w:r>
        <w:rPr>
          <w:rFonts w:hint="eastAsia" w:ascii="仿宋_GB2312"/>
          <w:color w:val="auto"/>
          <w:sz w:val="32"/>
          <w:szCs w:val="32"/>
          <w:highlight w:val="none"/>
          <w:lang w:eastAsia="zh-CN"/>
        </w:rPr>
        <w:t>等于</w:t>
      </w:r>
      <w:r>
        <w:rPr>
          <w:rFonts w:hint="eastAsia" w:ascii="仿宋_GB2312"/>
          <w:color w:val="auto"/>
          <w:sz w:val="32"/>
          <w:szCs w:val="32"/>
          <w:highlight w:val="none"/>
        </w:rPr>
        <w:t>100%，实际完成值是</w:t>
      </w:r>
      <w:r>
        <w:rPr>
          <w:rFonts w:hint="eastAsia" w:ascii="仿宋_GB2312"/>
          <w:color w:val="auto"/>
          <w:sz w:val="32"/>
          <w:szCs w:val="32"/>
          <w:highlight w:val="none"/>
          <w:lang w:eastAsia="zh-CN"/>
        </w:rPr>
        <w:t>等于</w:t>
      </w:r>
      <w:r>
        <w:rPr>
          <w:rFonts w:hint="eastAsia" w:ascii="仿宋_GB2312"/>
          <w:color w:val="auto"/>
          <w:sz w:val="32"/>
          <w:szCs w:val="32"/>
          <w:highlight w:val="none"/>
        </w:rPr>
        <w:t>100%，指标达到预期目标。</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color w:val="auto"/>
          <w:sz w:val="32"/>
          <w:szCs w:val="32"/>
          <w:highlight w:val="none"/>
        </w:rPr>
      </w:pPr>
      <w:r>
        <w:rPr>
          <w:rFonts w:hint="eastAsia" w:ascii="仿宋_GB2312"/>
          <w:color w:val="auto"/>
          <w:sz w:val="32"/>
          <w:szCs w:val="32"/>
          <w:highlight w:val="none"/>
        </w:rPr>
        <w:t>质量指标为资金使用合规率，预期指标值是</w:t>
      </w:r>
      <w:r>
        <w:rPr>
          <w:rFonts w:hint="eastAsia" w:ascii="仿宋_GB2312"/>
          <w:color w:val="auto"/>
          <w:sz w:val="32"/>
          <w:szCs w:val="32"/>
          <w:highlight w:val="none"/>
          <w:lang w:eastAsia="zh-CN"/>
        </w:rPr>
        <w:t>等于</w:t>
      </w:r>
      <w:r>
        <w:rPr>
          <w:rFonts w:hint="eastAsia" w:ascii="仿宋_GB2312"/>
          <w:color w:val="auto"/>
          <w:sz w:val="32"/>
          <w:szCs w:val="32"/>
          <w:highlight w:val="none"/>
        </w:rPr>
        <w:t>100%，实际完成值是</w:t>
      </w:r>
      <w:r>
        <w:rPr>
          <w:rFonts w:hint="eastAsia" w:ascii="仿宋_GB2312"/>
          <w:color w:val="auto"/>
          <w:sz w:val="32"/>
          <w:szCs w:val="32"/>
          <w:highlight w:val="none"/>
          <w:lang w:eastAsia="zh-CN"/>
        </w:rPr>
        <w:t>等于</w:t>
      </w:r>
      <w:r>
        <w:rPr>
          <w:rFonts w:hint="eastAsia" w:ascii="仿宋_GB2312"/>
          <w:color w:val="auto"/>
          <w:sz w:val="32"/>
          <w:szCs w:val="32"/>
          <w:highlight w:val="none"/>
        </w:rPr>
        <w:t>100%，指标达到预期目标。</w:t>
      </w:r>
    </w:p>
    <w:p>
      <w:pPr>
        <w:numPr>
          <w:ilvl w:val="0"/>
          <w:numId w:val="3"/>
        </w:num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3" w:firstLineChars="200"/>
        <w:rPr>
          <w:rFonts w:ascii="仿宋_GB2312"/>
          <w:color w:val="auto"/>
          <w:sz w:val="32"/>
          <w:szCs w:val="32"/>
          <w:highlight w:val="none"/>
        </w:rPr>
      </w:pPr>
      <w:r>
        <w:rPr>
          <w:rFonts w:hint="eastAsia" w:ascii="仿宋_GB2312"/>
          <w:b/>
          <w:color w:val="auto"/>
          <w:sz w:val="32"/>
          <w:szCs w:val="32"/>
          <w:highlight w:val="none"/>
        </w:rPr>
        <w:t>时效指标</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left="0" w:leftChars="0" w:firstLine="640" w:firstLineChars="200"/>
        <w:textAlignment w:val="auto"/>
        <w:rPr>
          <w:rFonts w:hint="eastAsia" w:ascii="仿宋_GB2312"/>
          <w:color w:val="auto"/>
          <w:sz w:val="32"/>
          <w:szCs w:val="32"/>
          <w:highlight w:val="none"/>
        </w:rPr>
      </w:pPr>
      <w:r>
        <w:rPr>
          <w:rFonts w:hint="eastAsia" w:ascii="仿宋_GB2312"/>
          <w:color w:val="auto"/>
          <w:sz w:val="32"/>
          <w:szCs w:val="32"/>
          <w:highlight w:val="none"/>
        </w:rPr>
        <w:t>时效指标为项目结束时间，预期指标值是2024年12月，实际完成值是</w:t>
      </w:r>
      <w:r>
        <w:rPr>
          <w:rFonts w:hint="eastAsia" w:ascii="仿宋_GB2312"/>
          <w:color w:val="auto"/>
          <w:sz w:val="32"/>
          <w:szCs w:val="32"/>
          <w:highlight w:val="none"/>
          <w:lang w:eastAsia="zh-CN"/>
        </w:rPr>
        <w:t>等于</w:t>
      </w:r>
      <w:r>
        <w:rPr>
          <w:rFonts w:hint="eastAsia" w:ascii="仿宋_GB2312"/>
          <w:color w:val="auto"/>
          <w:sz w:val="32"/>
          <w:szCs w:val="32"/>
          <w:highlight w:val="none"/>
        </w:rPr>
        <w:t>2024年12月，指标达到预期目标。</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left="0" w:leftChars="0" w:firstLine="643" w:firstLineChars="200"/>
        <w:textAlignment w:val="auto"/>
        <w:rPr>
          <w:rFonts w:hint="eastAsia" w:ascii="仿宋_GB2312"/>
          <w:b/>
          <w:color w:val="auto"/>
          <w:sz w:val="32"/>
          <w:szCs w:val="32"/>
          <w:highlight w:val="none"/>
        </w:rPr>
      </w:pPr>
      <w:r>
        <w:rPr>
          <w:rFonts w:hint="eastAsia" w:ascii="仿宋_GB2312"/>
          <w:b/>
          <w:color w:val="auto"/>
          <w:sz w:val="32"/>
          <w:szCs w:val="32"/>
          <w:highlight w:val="none"/>
        </w:rPr>
        <w:t>4．成本指标</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left="0" w:leftChars="0" w:firstLine="640" w:firstLineChars="200"/>
        <w:textAlignment w:val="auto"/>
        <w:rPr>
          <w:rFonts w:hint="eastAsia" w:ascii="仿宋_GB2312"/>
          <w:color w:val="auto"/>
          <w:sz w:val="32"/>
          <w:szCs w:val="32"/>
          <w:highlight w:val="none"/>
          <w:lang w:val="en-US" w:eastAsia="zh-CN"/>
        </w:rPr>
      </w:pPr>
      <w:r>
        <w:rPr>
          <w:rFonts w:hint="eastAsia" w:ascii="仿宋_GB2312"/>
          <w:color w:val="auto"/>
          <w:sz w:val="32"/>
          <w:szCs w:val="32"/>
          <w:highlight w:val="none"/>
          <w:lang w:val="en-US" w:eastAsia="zh-CN"/>
        </w:rPr>
        <w:t>无。</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left="0" w:leftChars="0" w:firstLine="643" w:firstLineChars="200"/>
        <w:textAlignment w:val="auto"/>
        <w:rPr>
          <w:rFonts w:hint="eastAsia" w:ascii="楷体" w:hAnsi="楷体" w:eastAsia="楷体" w:cs="宋体"/>
          <w:b/>
          <w:color w:val="auto"/>
          <w:sz w:val="32"/>
          <w:szCs w:val="32"/>
          <w:highlight w:val="none"/>
        </w:rPr>
      </w:pPr>
      <w:r>
        <w:rPr>
          <w:rFonts w:hint="eastAsia" w:ascii="楷体" w:hAnsi="楷体" w:eastAsia="楷体" w:cs="宋体"/>
          <w:b/>
          <w:color w:val="auto"/>
          <w:sz w:val="32"/>
          <w:szCs w:val="32"/>
          <w:highlight w:val="none"/>
        </w:rPr>
        <w:t>（四）项目效益情况</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left="0" w:leftChars="0" w:firstLine="643" w:firstLineChars="200"/>
        <w:textAlignment w:val="auto"/>
        <w:rPr>
          <w:rFonts w:hint="eastAsia" w:ascii="仿宋_GB2312" w:hAnsi="仿宋" w:cs="宋体"/>
          <w:b/>
          <w:bCs/>
          <w:color w:val="auto"/>
          <w:sz w:val="32"/>
          <w:szCs w:val="32"/>
          <w:highlight w:val="none"/>
        </w:rPr>
      </w:pPr>
      <w:r>
        <w:rPr>
          <w:rFonts w:hint="eastAsia" w:ascii="仿宋_GB2312" w:hAnsi="仿宋" w:cs="宋体"/>
          <w:b/>
          <w:bCs/>
          <w:color w:val="auto"/>
          <w:sz w:val="32"/>
          <w:szCs w:val="32"/>
          <w:highlight w:val="none"/>
        </w:rPr>
        <w:t>1．经济效益指标</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left="0" w:leftChars="0" w:firstLine="640" w:firstLineChars="200"/>
        <w:textAlignment w:val="auto"/>
        <w:rPr>
          <w:rFonts w:hint="eastAsia" w:ascii="仿宋_GB2312" w:hAnsi="仿宋" w:cs="宋体"/>
          <w:bCs/>
          <w:color w:val="auto"/>
          <w:sz w:val="32"/>
          <w:szCs w:val="32"/>
          <w:highlight w:val="none"/>
          <w:lang w:val="en-US" w:eastAsia="zh-CN"/>
        </w:rPr>
      </w:pPr>
      <w:r>
        <w:rPr>
          <w:rFonts w:hint="eastAsia" w:ascii="仿宋_GB2312" w:hAnsi="仿宋" w:cs="宋体"/>
          <w:bCs/>
          <w:color w:val="auto"/>
          <w:sz w:val="32"/>
          <w:szCs w:val="32"/>
          <w:highlight w:val="none"/>
          <w:lang w:val="en-US" w:eastAsia="zh-CN"/>
        </w:rPr>
        <w:t>无。</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left="0" w:leftChars="0" w:firstLine="643" w:firstLineChars="200"/>
        <w:textAlignment w:val="auto"/>
        <w:rPr>
          <w:rFonts w:hint="eastAsia" w:ascii="仿宋_GB2312" w:hAnsi="仿宋" w:cs="宋体"/>
          <w:b/>
          <w:bCs/>
          <w:color w:val="auto"/>
          <w:sz w:val="32"/>
          <w:szCs w:val="32"/>
          <w:highlight w:val="none"/>
        </w:rPr>
      </w:pPr>
      <w:r>
        <w:rPr>
          <w:rFonts w:hint="eastAsia" w:ascii="仿宋_GB2312" w:hAnsi="仿宋" w:cs="宋体"/>
          <w:b/>
          <w:bCs/>
          <w:color w:val="auto"/>
          <w:sz w:val="32"/>
          <w:szCs w:val="32"/>
          <w:highlight w:val="none"/>
        </w:rPr>
        <w:t>2．社会效益指标</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left="0" w:leftChars="0" w:firstLine="640" w:firstLineChars="200"/>
        <w:textAlignment w:val="auto"/>
        <w:rPr>
          <w:rFonts w:hint="eastAsia" w:ascii="仿宋_GB2312"/>
          <w:color w:val="auto"/>
          <w:sz w:val="32"/>
          <w:szCs w:val="32"/>
          <w:highlight w:val="none"/>
          <w:lang w:val="en-US" w:eastAsia="zh-CN"/>
        </w:rPr>
      </w:pPr>
      <w:r>
        <w:rPr>
          <w:rFonts w:hint="eastAsia" w:ascii="仿宋_GB2312" w:hAnsi="仿宋" w:cs="宋体"/>
          <w:bCs/>
          <w:color w:val="auto"/>
          <w:sz w:val="32"/>
          <w:szCs w:val="32"/>
          <w:highlight w:val="none"/>
        </w:rPr>
        <w:t>项目实施产生的社会效益</w:t>
      </w:r>
      <w:r>
        <w:rPr>
          <w:rFonts w:hint="eastAsia" w:ascii="仿宋_GB2312"/>
          <w:color w:val="auto"/>
          <w:sz w:val="32"/>
          <w:szCs w:val="32"/>
          <w:highlight w:val="none"/>
        </w:rPr>
        <w:t>指标</w:t>
      </w:r>
      <w:r>
        <w:rPr>
          <w:rFonts w:hint="eastAsia" w:ascii="仿宋_GB2312"/>
          <w:color w:val="auto"/>
          <w:sz w:val="32"/>
          <w:szCs w:val="32"/>
          <w:highlight w:val="none"/>
          <w:lang w:val="en-US" w:eastAsia="zh-CN"/>
        </w:rPr>
        <w:t>为解决河湖管护突出问题，预期指标值是明显，实际完成值是明显，指标达到预期目标。</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left="0" w:leftChars="0" w:firstLine="643" w:firstLineChars="200"/>
        <w:textAlignment w:val="auto"/>
        <w:rPr>
          <w:rFonts w:hint="eastAsia" w:ascii="仿宋_GB2312" w:hAnsi="仿宋" w:cs="宋体"/>
          <w:b/>
          <w:bCs/>
          <w:color w:val="auto"/>
          <w:sz w:val="32"/>
          <w:szCs w:val="32"/>
          <w:highlight w:val="none"/>
        </w:rPr>
      </w:pPr>
      <w:r>
        <w:rPr>
          <w:rFonts w:hint="eastAsia" w:ascii="仿宋_GB2312" w:hAnsi="仿宋" w:cs="宋体"/>
          <w:b/>
          <w:bCs/>
          <w:color w:val="auto"/>
          <w:sz w:val="32"/>
          <w:szCs w:val="32"/>
          <w:highlight w:val="none"/>
        </w:rPr>
        <w:t>3．生态效益指标</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left="0" w:leftChars="0" w:firstLine="640" w:firstLineChars="200"/>
        <w:textAlignment w:val="auto"/>
        <w:rPr>
          <w:rFonts w:hint="eastAsia" w:ascii="仿宋_GB2312" w:hAnsi="仿宋" w:cs="宋体"/>
          <w:bCs/>
          <w:color w:val="auto"/>
          <w:sz w:val="32"/>
          <w:szCs w:val="32"/>
          <w:highlight w:val="none"/>
          <w:lang w:val="en-US" w:eastAsia="zh-CN"/>
        </w:rPr>
      </w:pPr>
      <w:r>
        <w:rPr>
          <w:rFonts w:hint="eastAsia" w:ascii="仿宋_GB2312" w:hAnsi="仿宋" w:cs="宋体"/>
          <w:bCs/>
          <w:color w:val="auto"/>
          <w:sz w:val="32"/>
          <w:szCs w:val="32"/>
          <w:highlight w:val="none"/>
          <w:lang w:val="en-US" w:eastAsia="zh-CN"/>
        </w:rPr>
        <w:t>无。</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left="0" w:leftChars="0" w:firstLine="643" w:firstLineChars="200"/>
        <w:textAlignment w:val="auto"/>
        <w:rPr>
          <w:rFonts w:hint="eastAsia" w:ascii="楷体" w:hAnsi="楷体" w:eastAsia="楷体" w:cs="宋体"/>
          <w:b/>
          <w:color w:val="auto"/>
          <w:sz w:val="32"/>
          <w:szCs w:val="32"/>
          <w:highlight w:val="none"/>
        </w:rPr>
      </w:pPr>
      <w:r>
        <w:rPr>
          <w:rFonts w:hint="eastAsia" w:ascii="楷体" w:hAnsi="楷体" w:eastAsia="楷体" w:cs="宋体"/>
          <w:b/>
          <w:color w:val="auto"/>
          <w:sz w:val="32"/>
          <w:szCs w:val="32"/>
          <w:highlight w:val="none"/>
          <w:lang w:eastAsia="zh-CN"/>
        </w:rPr>
        <w:t>（</w:t>
      </w:r>
      <w:r>
        <w:rPr>
          <w:rFonts w:hint="eastAsia" w:ascii="楷体" w:hAnsi="楷体" w:eastAsia="楷体" w:cs="宋体"/>
          <w:b/>
          <w:color w:val="auto"/>
          <w:sz w:val="32"/>
          <w:szCs w:val="32"/>
          <w:highlight w:val="none"/>
          <w:lang w:val="en-US" w:eastAsia="zh-CN"/>
        </w:rPr>
        <w:t>五</w:t>
      </w:r>
      <w:r>
        <w:rPr>
          <w:rFonts w:hint="eastAsia" w:ascii="楷体" w:hAnsi="楷体" w:eastAsia="楷体" w:cs="宋体"/>
          <w:b/>
          <w:color w:val="auto"/>
          <w:sz w:val="32"/>
          <w:szCs w:val="32"/>
          <w:highlight w:val="none"/>
          <w:lang w:eastAsia="zh-CN"/>
        </w:rPr>
        <w:t>）</w:t>
      </w:r>
      <w:r>
        <w:rPr>
          <w:rFonts w:hint="eastAsia" w:ascii="楷体" w:hAnsi="楷体" w:eastAsia="楷体" w:cs="宋体"/>
          <w:b/>
          <w:color w:val="auto"/>
          <w:sz w:val="32"/>
          <w:szCs w:val="32"/>
          <w:highlight w:val="none"/>
        </w:rPr>
        <w:t>满意度指标完成情况分析</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left="0" w:leftChars="0" w:firstLine="640" w:firstLineChars="200"/>
        <w:textAlignment w:val="auto"/>
        <w:rPr>
          <w:rFonts w:hint="eastAsia" w:ascii="仿宋_GB2312"/>
          <w:color w:val="auto"/>
          <w:sz w:val="32"/>
          <w:szCs w:val="32"/>
          <w:highlight w:val="none"/>
        </w:rPr>
      </w:pPr>
      <w:r>
        <w:rPr>
          <w:rFonts w:hint="eastAsia" w:ascii="仿宋_GB2312"/>
          <w:color w:val="auto"/>
          <w:sz w:val="32"/>
          <w:szCs w:val="32"/>
          <w:highlight w:val="none"/>
        </w:rPr>
        <w:t>满意度指标为项目实施单位满意度，预期指标值是</w:t>
      </w:r>
      <w:r>
        <w:rPr>
          <w:rFonts w:hint="eastAsia" w:ascii="仿宋_GB2312"/>
          <w:color w:val="auto"/>
          <w:sz w:val="32"/>
          <w:szCs w:val="32"/>
          <w:highlight w:val="none"/>
          <w:lang w:eastAsia="zh-CN"/>
        </w:rPr>
        <w:t>大于等于</w:t>
      </w:r>
      <w:r>
        <w:rPr>
          <w:rFonts w:hint="eastAsia" w:ascii="仿宋_GB2312"/>
          <w:color w:val="auto"/>
          <w:sz w:val="32"/>
          <w:szCs w:val="32"/>
          <w:highlight w:val="none"/>
        </w:rPr>
        <w:t>90%，实际完成值是</w:t>
      </w:r>
      <w:r>
        <w:rPr>
          <w:rFonts w:hint="eastAsia" w:ascii="仿宋_GB2312"/>
          <w:color w:val="auto"/>
          <w:sz w:val="32"/>
          <w:szCs w:val="32"/>
          <w:highlight w:val="none"/>
          <w:lang w:eastAsia="zh-CN"/>
        </w:rPr>
        <w:t>等于</w:t>
      </w:r>
      <w:r>
        <w:rPr>
          <w:rFonts w:hint="eastAsia" w:ascii="仿宋_GB2312"/>
          <w:color w:val="auto"/>
          <w:sz w:val="32"/>
          <w:szCs w:val="32"/>
          <w:highlight w:val="none"/>
        </w:rPr>
        <w:t>90%，指标达到预期目标。</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left="0" w:leftChars="0" w:firstLine="640" w:firstLineChars="200"/>
        <w:textAlignment w:val="auto"/>
        <w:rPr>
          <w:rFonts w:hint="default" w:ascii="黑体" w:hAnsi="黑体" w:eastAsia="黑体" w:cs="仿宋_GB2312"/>
          <w:b w:val="0"/>
          <w:bCs w:val="0"/>
          <w:color w:val="auto"/>
          <w:kern w:val="2"/>
          <w:sz w:val="32"/>
          <w:szCs w:val="32"/>
          <w:highlight w:val="none"/>
        </w:rPr>
      </w:pPr>
      <w:r>
        <w:rPr>
          <w:rFonts w:hint="default" w:ascii="黑体" w:hAnsi="黑体" w:eastAsia="黑体" w:cs="仿宋_GB2312"/>
          <w:b w:val="0"/>
          <w:bCs w:val="0"/>
          <w:color w:val="auto"/>
          <w:kern w:val="2"/>
          <w:sz w:val="32"/>
          <w:szCs w:val="32"/>
          <w:highlight w:val="none"/>
        </w:rPr>
        <w:t>五、主要经验及做法、存在的问题及原因分析</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left="0" w:leftChars="0" w:firstLine="643" w:firstLineChars="200"/>
        <w:textAlignment w:val="auto"/>
        <w:rPr>
          <w:rFonts w:hint="eastAsia" w:ascii="楷体" w:hAnsi="楷体" w:eastAsia="楷体"/>
          <w:b/>
          <w:bCs/>
          <w:color w:val="auto"/>
          <w:sz w:val="32"/>
          <w:szCs w:val="32"/>
          <w:highlight w:val="none"/>
        </w:rPr>
      </w:pPr>
      <w:r>
        <w:rPr>
          <w:rFonts w:hint="eastAsia" w:ascii="楷体" w:hAnsi="楷体" w:eastAsia="楷体"/>
          <w:b/>
          <w:bCs/>
          <w:color w:val="auto"/>
          <w:sz w:val="32"/>
          <w:szCs w:val="32"/>
          <w:highlight w:val="none"/>
        </w:rPr>
        <w:t>（一）主要经验及做法</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left="0" w:leftChars="0" w:firstLine="600" w:firstLineChars="200"/>
        <w:textAlignment w:val="auto"/>
        <w:rPr>
          <w:rFonts w:hint="eastAsia"/>
          <w:b w:val="0"/>
          <w:color w:val="auto"/>
          <w:highlight w:val="none"/>
        </w:rPr>
      </w:pPr>
      <w:r>
        <w:rPr>
          <w:rFonts w:hint="eastAsia"/>
          <w:b w:val="0"/>
          <w:color w:val="auto"/>
          <w:highlight w:val="none"/>
        </w:rPr>
        <w:t>本项目实施效果较好的原因主要是管理制度完善、责任落实到位，跟踪考核机制完善且运行有效，在项目实施过程中创新管理办法，采用成本效益分析法、比较法、因素分析法、最低成本法使项目取得了良好的效果。</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left="0" w:leftChars="0" w:firstLine="643" w:firstLineChars="200"/>
        <w:textAlignment w:val="auto"/>
        <w:rPr>
          <w:rFonts w:hint="eastAsia" w:ascii="楷体" w:hAnsi="楷体" w:eastAsia="楷体"/>
          <w:b/>
          <w:bCs/>
          <w:color w:val="auto"/>
          <w:sz w:val="32"/>
          <w:szCs w:val="32"/>
          <w:highlight w:val="none"/>
        </w:rPr>
      </w:pPr>
      <w:r>
        <w:rPr>
          <w:rFonts w:hint="eastAsia" w:ascii="楷体" w:hAnsi="楷体" w:eastAsia="楷体"/>
          <w:b/>
          <w:bCs/>
          <w:color w:val="auto"/>
          <w:sz w:val="32"/>
          <w:szCs w:val="32"/>
          <w:highlight w:val="none"/>
        </w:rPr>
        <w:t>（二）存在的问题及原因分析</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left="0" w:leftChars="0" w:firstLine="640" w:firstLineChars="200"/>
        <w:textAlignment w:val="auto"/>
        <w:rPr>
          <w:rFonts w:hint="eastAsia"/>
          <w:color w:val="auto"/>
          <w:sz w:val="32"/>
          <w:highlight w:val="none"/>
        </w:rPr>
      </w:pPr>
      <w:r>
        <w:rPr>
          <w:rFonts w:hint="eastAsia"/>
          <w:color w:val="auto"/>
          <w:sz w:val="32"/>
          <w:highlight w:val="none"/>
        </w:rPr>
        <w:t>本项目全年预算数</w:t>
      </w:r>
      <w:r>
        <w:rPr>
          <w:rFonts w:hint="eastAsia"/>
          <w:color w:val="auto"/>
          <w:sz w:val="32"/>
          <w:highlight w:val="none"/>
          <w:lang w:val="en-US" w:eastAsia="zh-CN"/>
        </w:rPr>
        <w:t>460</w:t>
      </w:r>
      <w:r>
        <w:rPr>
          <w:rFonts w:hint="eastAsia"/>
          <w:color w:val="auto"/>
          <w:sz w:val="32"/>
          <w:highlight w:val="none"/>
        </w:rPr>
        <w:t>万元，执行数</w:t>
      </w:r>
      <w:r>
        <w:rPr>
          <w:rFonts w:hint="eastAsia"/>
          <w:color w:val="auto"/>
          <w:sz w:val="32"/>
          <w:highlight w:val="none"/>
          <w:lang w:val="en-US" w:eastAsia="zh-CN"/>
        </w:rPr>
        <w:t>45.74</w:t>
      </w:r>
      <w:r>
        <w:rPr>
          <w:rFonts w:hint="eastAsia"/>
          <w:color w:val="auto"/>
          <w:sz w:val="32"/>
          <w:highlight w:val="none"/>
        </w:rPr>
        <w:t>万元，执行率</w:t>
      </w:r>
      <w:r>
        <w:rPr>
          <w:rFonts w:hint="eastAsia"/>
          <w:color w:val="auto"/>
          <w:sz w:val="32"/>
          <w:highlight w:val="none"/>
          <w:lang w:val="en-US" w:eastAsia="zh-CN"/>
        </w:rPr>
        <w:t>9.9</w:t>
      </w:r>
      <w:r>
        <w:rPr>
          <w:rFonts w:hint="eastAsia"/>
          <w:color w:val="auto"/>
          <w:sz w:val="32"/>
          <w:highlight w:val="none"/>
        </w:rPr>
        <w:t>%，绩效指标完成率</w:t>
      </w:r>
      <w:r>
        <w:rPr>
          <w:rFonts w:hint="eastAsia"/>
          <w:color w:val="auto"/>
          <w:sz w:val="32"/>
          <w:highlight w:val="none"/>
          <w:lang w:val="en-US" w:eastAsia="zh-CN"/>
        </w:rPr>
        <w:t>100</w:t>
      </w:r>
      <w:r>
        <w:rPr>
          <w:rFonts w:hint="eastAsia"/>
          <w:color w:val="auto"/>
          <w:sz w:val="32"/>
          <w:highlight w:val="none"/>
        </w:rPr>
        <w:t>%，偏差率</w:t>
      </w:r>
      <w:r>
        <w:rPr>
          <w:rFonts w:hint="eastAsia"/>
          <w:color w:val="auto"/>
          <w:sz w:val="32"/>
          <w:highlight w:val="none"/>
          <w:lang w:val="en-US" w:eastAsia="zh-CN"/>
        </w:rPr>
        <w:t>90.1</w:t>
      </w:r>
      <w:r>
        <w:rPr>
          <w:rFonts w:hint="eastAsia"/>
          <w:color w:val="auto"/>
          <w:sz w:val="32"/>
          <w:highlight w:val="none"/>
        </w:rPr>
        <w:t>%。偏差原因：支出手续不齐全，剩余资金未支付，因此项目预算执行率偏低，预算执行进度未达预期目标。</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left="0" w:leftChars="0" w:firstLine="600" w:firstLineChars="200"/>
        <w:textAlignment w:val="auto"/>
        <w:rPr>
          <w:rFonts w:hint="eastAsia" w:ascii="黑体" w:hAnsi="黑体" w:eastAsia="黑体"/>
          <w:b w:val="0"/>
          <w:bCs w:val="0"/>
          <w:color w:val="auto"/>
          <w:highlight w:val="none"/>
        </w:rPr>
      </w:pPr>
      <w:r>
        <w:rPr>
          <w:rFonts w:hint="eastAsia" w:ascii="黑体" w:hAnsi="黑体" w:eastAsia="黑体"/>
          <w:b w:val="0"/>
          <w:bCs w:val="0"/>
          <w:color w:val="auto"/>
          <w:highlight w:val="none"/>
        </w:rPr>
        <w:t>六、有关建议</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left="0" w:leftChars="0" w:firstLine="600" w:firstLineChars="200"/>
        <w:textAlignment w:val="auto"/>
        <w:rPr>
          <w:rFonts w:hint="eastAsia" w:ascii="仿宋_GB2312" w:hAnsi="仿宋" w:eastAsia="仿宋_GB2312" w:cs="宋体"/>
          <w:b w:val="0"/>
          <w:color w:val="auto"/>
          <w:kern w:val="2"/>
          <w:highlight w:val="none"/>
        </w:rPr>
      </w:pPr>
      <w:r>
        <w:rPr>
          <w:rFonts w:hint="eastAsia" w:ascii="仿宋_GB2312" w:hAnsi="仿宋" w:eastAsia="仿宋_GB2312" w:cs="宋体"/>
          <w:b w:val="0"/>
          <w:color w:val="auto"/>
          <w:kern w:val="2"/>
          <w:highlight w:val="none"/>
        </w:rPr>
        <w:t>预算编制工作，认真做好预算的编制。全面编制预算项目，优先保障固定性的、相对刚性的费用支出项目，尽量压缩变动性的、有控制空间的费用项目，进一步提高预算编制的科学性、严谨性和可控性。</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left="0" w:leftChars="0" w:firstLine="600" w:firstLineChars="200"/>
        <w:textAlignment w:val="auto"/>
        <w:rPr>
          <w:rFonts w:hint="eastAsia" w:ascii="仿宋_GB2312" w:hAnsi="仿宋" w:eastAsia="仿宋_GB2312" w:cs="宋体"/>
          <w:b w:val="0"/>
          <w:color w:val="auto"/>
          <w:kern w:val="2"/>
          <w:highlight w:val="none"/>
        </w:rPr>
      </w:pPr>
      <w:r>
        <w:rPr>
          <w:rFonts w:hint="eastAsia" w:ascii="仿宋_GB2312" w:hAnsi="仿宋" w:eastAsia="仿宋_GB2312" w:cs="宋体"/>
          <w:b w:val="0"/>
          <w:color w:val="auto"/>
          <w:kern w:val="2"/>
          <w:highlight w:val="none"/>
        </w:rPr>
        <w:t>开展进度的跟踪，确保项目绩效目标的完成。规范程序，严格把关。进一步完善项目申报、审核、公示、审批等程序，做好项目信息公开，公开内容要及时、完整、真实，确保项目公平、公开、公正。</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left="0" w:leftChars="0" w:firstLine="600" w:firstLineChars="200"/>
        <w:textAlignment w:val="auto"/>
        <w:rPr>
          <w:rFonts w:hint="eastAsia" w:ascii="仿宋_GB2312" w:hAnsi="仿宋" w:eastAsia="仿宋_GB2312" w:cs="宋体"/>
          <w:b w:val="0"/>
          <w:color w:val="auto"/>
          <w:kern w:val="2"/>
          <w:highlight w:val="none"/>
        </w:rPr>
      </w:pPr>
      <w:r>
        <w:rPr>
          <w:rFonts w:hint="eastAsia" w:ascii="仿宋_GB2312" w:hAnsi="仿宋" w:eastAsia="仿宋_GB2312" w:cs="宋体"/>
          <w:b w:val="0"/>
          <w:color w:val="auto"/>
          <w:kern w:val="2"/>
          <w:highlight w:val="none"/>
        </w:rPr>
        <w:t>健全制度，加强督促。针对项目实施中存在的问题，进一步完善相关制度，加强督促检查，确保质量安全和建设进度；同时及时完善资料。</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left="0" w:leftChars="0" w:firstLine="600" w:firstLineChars="200"/>
        <w:textAlignment w:val="auto"/>
        <w:rPr>
          <w:rFonts w:ascii="黑体" w:hAnsi="黑体" w:eastAsia="黑体"/>
          <w:b w:val="0"/>
          <w:bCs w:val="0"/>
          <w:color w:val="auto"/>
          <w:highlight w:val="none"/>
        </w:rPr>
      </w:pPr>
      <w:r>
        <w:rPr>
          <w:rFonts w:hint="eastAsia" w:ascii="黑体" w:hAnsi="黑体" w:eastAsia="黑体"/>
          <w:b w:val="0"/>
          <w:bCs w:val="0"/>
          <w:color w:val="auto"/>
          <w:highlight w:val="none"/>
        </w:rPr>
        <w:t>七、其他需要说明的问题</w:t>
      </w:r>
      <w:bookmarkStart w:id="0" w:name="_GoBack"/>
      <w:bookmarkEnd w:id="0"/>
    </w:p>
    <w:p>
      <w:pPr>
        <w:pStyle w:val="32"/>
        <w:keepNext w:val="0"/>
        <w:keepLines w:val="0"/>
        <w:spacing w:before="0" w:after="0" w:line="560" w:lineRule="exact"/>
        <w:ind w:firstLine="640"/>
        <w:rPr>
          <w:rFonts w:hint="eastAsia" w:ascii="仿宋_GB2312" w:hAnsi="仿宋_GB2312" w:cs="仿宋_GB2312"/>
          <w:color w:val="auto"/>
          <w:sz w:val="32"/>
          <w:szCs w:val="32"/>
          <w:highlight w:val="none"/>
        </w:rPr>
      </w:pPr>
      <w:r>
        <w:rPr>
          <w:rFonts w:hint="eastAsia" w:ascii="仿宋_GB2312" w:hAnsi="仿宋" w:eastAsia="仿宋_GB2312" w:cs="宋体"/>
          <w:b w:val="0"/>
          <w:color w:val="auto"/>
          <w:kern w:val="2"/>
          <w:highlight w:val="none"/>
          <w:lang w:val="en-US" w:eastAsia="zh-CN"/>
        </w:rPr>
        <w:t>无。</w:t>
      </w:r>
      <w:r>
        <w:br w:type="page"/>
      </w:r>
      <w:r>
        <w:rPr>
          <w:rFonts w:hint="eastAsia" w:ascii="仿宋_GB2312" w:hAnsi="仿宋_GB2312" w:cs="仿宋_GB2312"/>
          <w:color w:val="auto"/>
          <w:sz w:val="32"/>
          <w:szCs w:val="32"/>
          <w:highlight w:val="none"/>
        </w:rPr>
        <w:t>附件1</w:t>
      </w:r>
    </w:p>
    <w:p>
      <w:pPr>
        <w:spacing w:line="560" w:lineRule="exact"/>
        <w:ind w:left="600" w:leftChars="200" w:firstLine="2240" w:firstLineChars="7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绩效评价指标体系</w:t>
      </w:r>
    </w:p>
    <w:tbl>
      <w:tblPr>
        <w:tblStyle w:val="10"/>
        <w:tblW w:w="9859"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757"/>
        <w:gridCol w:w="1478"/>
        <w:gridCol w:w="1875"/>
        <w:gridCol w:w="3885"/>
        <w:gridCol w:w="990"/>
        <w:gridCol w:w="87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92" w:hRule="atLeast"/>
          <w:tblHeader/>
          <w:jc w:val="center"/>
        </w:trPr>
        <w:tc>
          <w:tcPr>
            <w:tcW w:w="757" w:type="dxa"/>
            <w:shd w:val="clear" w:color="auto" w:fill="FFFFFF"/>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一级指标</w:t>
            </w:r>
          </w:p>
        </w:tc>
        <w:tc>
          <w:tcPr>
            <w:tcW w:w="1478" w:type="dxa"/>
            <w:shd w:val="clear" w:color="auto" w:fill="FFFFFF"/>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二级指标</w:t>
            </w: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三级指标</w:t>
            </w:r>
          </w:p>
        </w:tc>
        <w:tc>
          <w:tcPr>
            <w:tcW w:w="388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指标解释</w:t>
            </w:r>
          </w:p>
        </w:tc>
        <w:tc>
          <w:tcPr>
            <w:tcW w:w="990" w:type="dxa"/>
            <w:tcBorders>
              <w:left w:val="single" w:color="auto" w:sz="4" w:space="0"/>
            </w:tcBorders>
            <w:shd w:val="clear" w:color="auto" w:fill="FFFFFF"/>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分值</w:t>
            </w:r>
          </w:p>
        </w:tc>
        <w:tc>
          <w:tcPr>
            <w:tcW w:w="874" w:type="dxa"/>
            <w:shd w:val="clear" w:color="auto" w:fill="FFFFFF"/>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得分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95" w:hRule="atLeast"/>
          <w:jc w:val="center"/>
        </w:trPr>
        <w:tc>
          <w:tcPr>
            <w:tcW w:w="757" w:type="dxa"/>
            <w:vMerge w:val="restart"/>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决策</w:t>
            </w:r>
          </w:p>
        </w:tc>
        <w:tc>
          <w:tcPr>
            <w:tcW w:w="1478" w:type="dxa"/>
            <w:vMerge w:val="restart"/>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项目立项　</w:t>
            </w: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立项依据</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充分性</w:t>
            </w:r>
          </w:p>
        </w:tc>
        <w:tc>
          <w:tcPr>
            <w:tcW w:w="3885" w:type="dxa"/>
            <w:tcBorders>
              <w:right w:val="single" w:color="auto" w:sz="4" w:space="0"/>
            </w:tcBorders>
            <w:shd w:val="clear" w:color="auto"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项目立项是否符合法律法规、相关政策、发展规划以及部门职责，用以反映和考核项目立项依据情况。</w:t>
            </w:r>
          </w:p>
        </w:tc>
        <w:tc>
          <w:tcPr>
            <w:tcW w:w="990" w:type="dxa"/>
            <w:tcBorders>
              <w:left w:val="single" w:color="auto" w:sz="4" w:space="0"/>
            </w:tcBorders>
            <w:shd w:val="clear" w:color="auto"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c>
          <w:tcPr>
            <w:tcW w:w="874" w:type="dxa"/>
            <w:tcBorders>
              <w:bottom w:val="single" w:color="auto" w:sz="4" w:space="0"/>
            </w:tcBorders>
            <w:shd w:val="clear" w:color="auto"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400" w:lineRule="exact"/>
              <w:jc w:val="center"/>
              <w:rPr>
                <w:rFonts w:hint="eastAsia" w:ascii="仿宋_GB2312" w:hAnsi="仿宋_GB2312" w:cs="仿宋_GB2312"/>
                <w:color w:val="auto"/>
                <w:kern w:val="0"/>
                <w:sz w:val="24"/>
                <w:highlight w:val="none"/>
              </w:rPr>
            </w:pPr>
          </w:p>
        </w:tc>
        <w:tc>
          <w:tcPr>
            <w:tcW w:w="1478" w:type="dxa"/>
            <w:vMerge w:val="continue"/>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立项程序</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规范性</w:t>
            </w:r>
          </w:p>
        </w:tc>
        <w:tc>
          <w:tcPr>
            <w:tcW w:w="3885" w:type="dxa"/>
            <w:tcBorders>
              <w:right w:val="single" w:color="auto" w:sz="4" w:space="0"/>
            </w:tcBorders>
            <w:shd w:val="clear" w:color="auto"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项目申请、设立过程是否符合相关要求，用以反映和考核项目立项的规范情况</w:t>
            </w:r>
          </w:p>
        </w:tc>
        <w:tc>
          <w:tcPr>
            <w:tcW w:w="990" w:type="dxa"/>
            <w:tcBorders>
              <w:left w:val="single" w:color="auto" w:sz="4" w:space="0"/>
            </w:tcBorders>
            <w:shd w:val="clear" w:color="auto"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c>
          <w:tcPr>
            <w:tcW w:w="874" w:type="dxa"/>
            <w:shd w:val="clear" w:color="auto"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3" w:hRule="atLeast"/>
          <w:jc w:val="center"/>
        </w:trPr>
        <w:tc>
          <w:tcPr>
            <w:tcW w:w="757" w:type="dxa"/>
            <w:vMerge w:val="continue"/>
            <w:shd w:val="clear" w:color="auto" w:fill="FFFFFF"/>
            <w:vAlign w:val="center"/>
          </w:tcPr>
          <w:p>
            <w:pPr>
              <w:spacing w:line="400" w:lineRule="exact"/>
              <w:jc w:val="center"/>
              <w:rPr>
                <w:rFonts w:hint="eastAsia" w:ascii="仿宋_GB2312" w:hAnsi="仿宋_GB2312" w:cs="仿宋_GB2312"/>
                <w:color w:val="auto"/>
                <w:kern w:val="0"/>
                <w:sz w:val="24"/>
                <w:highlight w:val="none"/>
              </w:rPr>
            </w:pPr>
          </w:p>
        </w:tc>
        <w:tc>
          <w:tcPr>
            <w:tcW w:w="1478" w:type="dxa"/>
            <w:vMerge w:val="restart"/>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绩效目标</w:t>
            </w: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绩效目标</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合理性</w:t>
            </w:r>
          </w:p>
        </w:tc>
        <w:tc>
          <w:tcPr>
            <w:tcW w:w="3885" w:type="dxa"/>
            <w:tcBorders>
              <w:right w:val="single" w:color="auto" w:sz="4" w:space="0"/>
            </w:tcBorders>
            <w:shd w:val="clear" w:color="000000"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项目所设定的绩效目标是否依据充分，是否符合客观实际，用以反映和考核项目绩效目标与项目实施的相符情况。</w:t>
            </w:r>
          </w:p>
        </w:tc>
        <w:tc>
          <w:tcPr>
            <w:tcW w:w="990" w:type="dxa"/>
            <w:tcBorders>
              <w:left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5</w:t>
            </w:r>
          </w:p>
        </w:tc>
        <w:tc>
          <w:tcPr>
            <w:tcW w:w="874" w:type="dxa"/>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5</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93" w:hRule="atLeast"/>
          <w:jc w:val="center"/>
        </w:trPr>
        <w:tc>
          <w:tcPr>
            <w:tcW w:w="757" w:type="dxa"/>
            <w:vMerge w:val="continue"/>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vMerge w:val="continue"/>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绩效指标</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明确性</w:t>
            </w:r>
          </w:p>
        </w:tc>
        <w:tc>
          <w:tcPr>
            <w:tcW w:w="3885" w:type="dxa"/>
            <w:tcBorders>
              <w:right w:val="single" w:color="auto" w:sz="4" w:space="0"/>
            </w:tcBorders>
            <w:shd w:val="clear" w:color="000000"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依据绩效目标设定的绩效指标是否清晰、细化、可衡量等，用以反映和考核项目绩效目标的明细化情况。</w:t>
            </w:r>
          </w:p>
        </w:tc>
        <w:tc>
          <w:tcPr>
            <w:tcW w:w="990" w:type="dxa"/>
            <w:tcBorders>
              <w:left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c>
          <w:tcPr>
            <w:tcW w:w="874" w:type="dxa"/>
            <w:tcBorders>
              <w:bottom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1" w:hRule="atLeast"/>
          <w:jc w:val="center"/>
        </w:trPr>
        <w:tc>
          <w:tcPr>
            <w:tcW w:w="757" w:type="dxa"/>
            <w:vMerge w:val="continue"/>
            <w:shd w:val="clear" w:color="auto" w:fill="FFFFFF"/>
            <w:vAlign w:val="center"/>
          </w:tcPr>
          <w:p>
            <w:pPr>
              <w:spacing w:line="400" w:lineRule="exact"/>
              <w:jc w:val="center"/>
              <w:rPr>
                <w:rFonts w:hint="eastAsia" w:ascii="仿宋_GB2312" w:hAnsi="仿宋_GB2312" w:cs="仿宋_GB2312"/>
                <w:color w:val="auto"/>
                <w:kern w:val="0"/>
                <w:sz w:val="24"/>
                <w:highlight w:val="none"/>
              </w:rPr>
            </w:pPr>
          </w:p>
        </w:tc>
        <w:tc>
          <w:tcPr>
            <w:tcW w:w="1478" w:type="dxa"/>
            <w:vMerge w:val="restart"/>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资金投入</w:t>
            </w:r>
          </w:p>
          <w:p>
            <w:pPr>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　</w:t>
            </w: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预算编制</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科学性</w:t>
            </w:r>
          </w:p>
        </w:tc>
        <w:tc>
          <w:tcPr>
            <w:tcW w:w="3885" w:type="dxa"/>
            <w:tcBorders>
              <w:right w:val="single" w:color="auto" w:sz="4" w:space="0"/>
            </w:tcBorders>
            <w:shd w:val="clear" w:color="auto"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shd w:val="clear" w:color="auto"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c>
          <w:tcPr>
            <w:tcW w:w="874" w:type="dxa"/>
            <w:tcBorders>
              <w:bottom w:val="single" w:color="auto" w:sz="4" w:space="0"/>
            </w:tcBorders>
            <w:shd w:val="clear" w:color="auto"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54" w:hRule="atLeast"/>
          <w:jc w:val="center"/>
        </w:trPr>
        <w:tc>
          <w:tcPr>
            <w:tcW w:w="757" w:type="dxa"/>
            <w:vMerge w:val="continue"/>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vMerge w:val="continue"/>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资金分配</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合理性</w:t>
            </w:r>
          </w:p>
        </w:tc>
        <w:tc>
          <w:tcPr>
            <w:tcW w:w="3885" w:type="dxa"/>
            <w:tcBorders>
              <w:right w:val="single" w:color="auto" w:sz="4" w:space="0"/>
            </w:tcBorders>
            <w:shd w:val="clear" w:color="auto"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项目预算资金分配是否有测算依据，与补助单位或地方实际是否相适应，用以反映和考核项目预算资金分配的科学性、合理性情况。</w:t>
            </w:r>
          </w:p>
        </w:tc>
        <w:tc>
          <w:tcPr>
            <w:tcW w:w="990" w:type="dxa"/>
            <w:tcBorders>
              <w:left w:val="single" w:color="auto" w:sz="4" w:space="0"/>
            </w:tcBorders>
            <w:shd w:val="clear" w:color="auto"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c>
          <w:tcPr>
            <w:tcW w:w="874" w:type="dxa"/>
            <w:shd w:val="clear" w:color="auto"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48" w:hRule="atLeast"/>
          <w:jc w:val="center"/>
        </w:trPr>
        <w:tc>
          <w:tcPr>
            <w:tcW w:w="757" w:type="dxa"/>
            <w:vMerge w:val="restart"/>
            <w:shd w:val="clear" w:color="auto" w:fill="FFFFFF"/>
            <w:vAlign w:val="center"/>
          </w:tcPr>
          <w:p>
            <w:pPr>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过程</w:t>
            </w:r>
          </w:p>
        </w:tc>
        <w:tc>
          <w:tcPr>
            <w:tcW w:w="1478" w:type="dxa"/>
            <w:vMerge w:val="restart"/>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资金管理</w:t>
            </w: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资金到位率</w:t>
            </w:r>
          </w:p>
        </w:tc>
        <w:tc>
          <w:tcPr>
            <w:tcW w:w="3885" w:type="dxa"/>
            <w:tcBorders>
              <w:right w:val="single" w:color="auto" w:sz="4" w:space="0"/>
            </w:tcBorders>
            <w:shd w:val="clear" w:color="000000"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实际到位资金与预算资金的比率，用以反映和考核资金落实情况对项目实施的总体保障程度。</w:t>
            </w:r>
          </w:p>
        </w:tc>
        <w:tc>
          <w:tcPr>
            <w:tcW w:w="990" w:type="dxa"/>
            <w:tcBorders>
              <w:left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c>
          <w:tcPr>
            <w:tcW w:w="874" w:type="dxa"/>
            <w:tcBorders>
              <w:bottom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82" w:hRule="atLeast"/>
          <w:jc w:val="center"/>
        </w:trPr>
        <w:tc>
          <w:tcPr>
            <w:tcW w:w="757" w:type="dxa"/>
            <w:vMerge w:val="continue"/>
            <w:shd w:val="clear" w:color="auto" w:fill="FFFFFF"/>
            <w:vAlign w:val="center"/>
          </w:tcPr>
          <w:p>
            <w:pPr>
              <w:spacing w:line="400" w:lineRule="exact"/>
              <w:jc w:val="center"/>
              <w:rPr>
                <w:rFonts w:hint="eastAsia" w:ascii="仿宋_GB2312" w:hAnsi="仿宋_GB2312" w:cs="仿宋_GB2312"/>
                <w:color w:val="auto"/>
                <w:kern w:val="0"/>
                <w:sz w:val="24"/>
                <w:highlight w:val="none"/>
              </w:rPr>
            </w:pPr>
          </w:p>
        </w:tc>
        <w:tc>
          <w:tcPr>
            <w:tcW w:w="1478" w:type="dxa"/>
            <w:vMerge w:val="continue"/>
            <w:shd w:val="clear" w:color="auto" w:fill="FFFFFF"/>
            <w:vAlign w:val="center"/>
          </w:tcPr>
          <w:p>
            <w:pPr>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预算执行率</w:t>
            </w:r>
          </w:p>
        </w:tc>
        <w:tc>
          <w:tcPr>
            <w:tcW w:w="3885" w:type="dxa"/>
            <w:tcBorders>
              <w:right w:val="single" w:color="auto" w:sz="4" w:space="0"/>
            </w:tcBorders>
            <w:shd w:val="clear" w:color="auto"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项目预算资金是否按照计划执行，用以反映或考核项目预算执行情况</w:t>
            </w:r>
          </w:p>
        </w:tc>
        <w:tc>
          <w:tcPr>
            <w:tcW w:w="990" w:type="dxa"/>
            <w:tcBorders>
              <w:left w:val="single" w:color="auto" w:sz="4" w:space="0"/>
            </w:tcBorders>
            <w:shd w:val="clear" w:color="auto"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5</w:t>
            </w:r>
          </w:p>
        </w:tc>
        <w:tc>
          <w:tcPr>
            <w:tcW w:w="874" w:type="dxa"/>
            <w:tcBorders>
              <w:bottom w:val="single" w:color="auto" w:sz="4" w:space="0"/>
            </w:tcBorders>
            <w:shd w:val="clear" w:color="auto" w:fill="FFFFFF"/>
            <w:vAlign w:val="center"/>
          </w:tcPr>
          <w:p>
            <w:pPr>
              <w:spacing w:line="400" w:lineRule="exact"/>
              <w:jc w:val="center"/>
              <w:rPr>
                <w:rFonts w:hint="default" w:ascii="仿宋_GB2312" w:hAnsi="仿宋_GB2312" w:eastAsia="仿宋_GB2312" w:cs="仿宋_GB2312"/>
                <w:color w:val="auto"/>
                <w:sz w:val="24"/>
                <w:highlight w:val="none"/>
                <w:lang w:val="en-US" w:eastAsia="zh-CN"/>
              </w:rPr>
            </w:pPr>
            <w:r>
              <w:rPr>
                <w:rFonts w:hint="eastAsia" w:ascii="仿宋_GB2312" w:hAnsi="仿宋_GB2312" w:cs="仿宋_GB2312"/>
                <w:color w:val="auto"/>
                <w:sz w:val="24"/>
                <w:highlight w:val="none"/>
                <w:lang w:val="en-US" w:eastAsia="zh-CN"/>
              </w:rPr>
              <w:t>0.5</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400" w:lineRule="exact"/>
              <w:jc w:val="center"/>
              <w:rPr>
                <w:rFonts w:hint="eastAsia" w:ascii="仿宋_GB2312" w:hAnsi="仿宋_GB2312" w:cs="仿宋_GB2312"/>
                <w:color w:val="auto"/>
                <w:kern w:val="0"/>
                <w:sz w:val="24"/>
                <w:highlight w:val="none"/>
              </w:rPr>
            </w:pPr>
          </w:p>
        </w:tc>
        <w:tc>
          <w:tcPr>
            <w:tcW w:w="1478" w:type="dxa"/>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资金管理</w:t>
            </w: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资金使用</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合规性</w:t>
            </w:r>
          </w:p>
        </w:tc>
        <w:tc>
          <w:tcPr>
            <w:tcW w:w="3885" w:type="dxa"/>
            <w:tcBorders>
              <w:right w:val="single" w:color="auto" w:sz="4" w:space="0"/>
            </w:tcBorders>
            <w:shd w:val="clear" w:color="000000"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项目资金使用是否符合相关的财务管理制度规定，用以反映和考核项目资金的规范运行情况。</w:t>
            </w:r>
          </w:p>
        </w:tc>
        <w:tc>
          <w:tcPr>
            <w:tcW w:w="990" w:type="dxa"/>
            <w:tcBorders>
              <w:left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c>
          <w:tcPr>
            <w:tcW w:w="874" w:type="dxa"/>
            <w:tcBorders>
              <w:bottom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86" w:hRule="atLeast"/>
          <w:jc w:val="center"/>
        </w:trPr>
        <w:tc>
          <w:tcPr>
            <w:tcW w:w="757" w:type="dxa"/>
            <w:vMerge w:val="continue"/>
            <w:shd w:val="clear" w:color="auto" w:fill="FFFFFF"/>
            <w:vAlign w:val="center"/>
          </w:tcPr>
          <w:p>
            <w:pPr>
              <w:spacing w:line="400" w:lineRule="exact"/>
              <w:jc w:val="center"/>
              <w:rPr>
                <w:rFonts w:hint="eastAsia" w:ascii="仿宋_GB2312" w:hAnsi="仿宋_GB2312" w:cs="仿宋_GB2312"/>
                <w:color w:val="auto"/>
                <w:kern w:val="0"/>
                <w:sz w:val="24"/>
                <w:highlight w:val="none"/>
              </w:rPr>
            </w:pPr>
          </w:p>
        </w:tc>
        <w:tc>
          <w:tcPr>
            <w:tcW w:w="1478" w:type="dxa"/>
            <w:vMerge w:val="restart"/>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组织实施</w:t>
            </w:r>
          </w:p>
          <w:p>
            <w:pPr>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　</w:t>
            </w: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管理制度</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健全性</w:t>
            </w:r>
          </w:p>
        </w:tc>
        <w:tc>
          <w:tcPr>
            <w:tcW w:w="3885" w:type="dxa"/>
            <w:tcBorders>
              <w:right w:val="single" w:color="auto" w:sz="4" w:space="0"/>
            </w:tcBorders>
            <w:shd w:val="clear" w:color="000000"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项目实施单位的财务和业务管理制度是否健全，用以反映和考核财务和业务管理制度对项目顺利实施的保障情况。</w:t>
            </w:r>
          </w:p>
        </w:tc>
        <w:tc>
          <w:tcPr>
            <w:tcW w:w="990" w:type="dxa"/>
            <w:tcBorders>
              <w:left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c>
          <w:tcPr>
            <w:tcW w:w="874" w:type="dxa"/>
            <w:tcBorders>
              <w:bottom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77" w:hRule="atLeast"/>
          <w:jc w:val="center"/>
        </w:trPr>
        <w:tc>
          <w:tcPr>
            <w:tcW w:w="757" w:type="dxa"/>
            <w:vMerge w:val="continue"/>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vMerge w:val="continue"/>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制度执行</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有效性</w:t>
            </w:r>
          </w:p>
        </w:tc>
        <w:tc>
          <w:tcPr>
            <w:tcW w:w="3885" w:type="dxa"/>
            <w:tcBorders>
              <w:right w:val="single" w:color="auto" w:sz="4" w:space="0"/>
            </w:tcBorders>
            <w:shd w:val="clear" w:color="000000"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项目实施是否符合相关管理规定，用以反映和考核相关管理制度的有效执行情况。</w:t>
            </w:r>
          </w:p>
        </w:tc>
        <w:tc>
          <w:tcPr>
            <w:tcW w:w="990" w:type="dxa"/>
            <w:tcBorders>
              <w:left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2</w:t>
            </w:r>
          </w:p>
        </w:tc>
        <w:tc>
          <w:tcPr>
            <w:tcW w:w="874" w:type="dxa"/>
            <w:tcBorders>
              <w:bottom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2</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36" w:hRule="atLeast"/>
          <w:jc w:val="center"/>
        </w:trPr>
        <w:tc>
          <w:tcPr>
            <w:tcW w:w="757" w:type="dxa"/>
            <w:vMerge w:val="restart"/>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产出</w:t>
            </w:r>
          </w:p>
        </w:tc>
        <w:tc>
          <w:tcPr>
            <w:tcW w:w="1478" w:type="dxa"/>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产出数量</w:t>
            </w: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实际完成率</w:t>
            </w:r>
          </w:p>
        </w:tc>
        <w:tc>
          <w:tcPr>
            <w:tcW w:w="3885" w:type="dxa"/>
            <w:tcBorders>
              <w:right w:val="single" w:color="auto" w:sz="4" w:space="0"/>
            </w:tcBorders>
            <w:shd w:val="clear" w:color="000000"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项目实施的实际产出数与计划产出数的比率，用以反映和考核项目产出数量目标的实现程度。</w:t>
            </w:r>
          </w:p>
        </w:tc>
        <w:tc>
          <w:tcPr>
            <w:tcW w:w="990" w:type="dxa"/>
            <w:tcBorders>
              <w:left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8</w:t>
            </w:r>
          </w:p>
        </w:tc>
        <w:tc>
          <w:tcPr>
            <w:tcW w:w="874" w:type="dxa"/>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8</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44" w:hRule="atLeast"/>
          <w:jc w:val="center"/>
        </w:trPr>
        <w:tc>
          <w:tcPr>
            <w:tcW w:w="757" w:type="dxa"/>
            <w:vMerge w:val="continue"/>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产出质量</w:t>
            </w: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质量达标率</w:t>
            </w:r>
          </w:p>
        </w:tc>
        <w:tc>
          <w:tcPr>
            <w:tcW w:w="3885" w:type="dxa"/>
            <w:tcBorders>
              <w:right w:val="single" w:color="auto" w:sz="4" w:space="0"/>
            </w:tcBorders>
            <w:shd w:val="clear" w:color="000000"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项目完成的质量达标产出数与实际产出数的比率，用以反映和考核项目产出质量目标的实现程度。</w:t>
            </w:r>
          </w:p>
        </w:tc>
        <w:tc>
          <w:tcPr>
            <w:tcW w:w="990" w:type="dxa"/>
            <w:tcBorders>
              <w:left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7</w:t>
            </w:r>
          </w:p>
        </w:tc>
        <w:tc>
          <w:tcPr>
            <w:tcW w:w="874" w:type="dxa"/>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7</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9" w:hRule="atLeast"/>
          <w:jc w:val="center"/>
        </w:trPr>
        <w:tc>
          <w:tcPr>
            <w:tcW w:w="757" w:type="dxa"/>
            <w:vMerge w:val="continue"/>
            <w:shd w:val="clear" w:color="auto" w:fill="FFFFFF"/>
            <w:vAlign w:val="center"/>
          </w:tcPr>
          <w:p>
            <w:pPr>
              <w:spacing w:line="400" w:lineRule="exact"/>
              <w:jc w:val="center"/>
              <w:rPr>
                <w:rFonts w:hint="eastAsia" w:ascii="仿宋_GB2312" w:hAnsi="仿宋_GB2312" w:cs="仿宋_GB2312"/>
                <w:color w:val="auto"/>
                <w:kern w:val="0"/>
                <w:sz w:val="24"/>
                <w:highlight w:val="none"/>
              </w:rPr>
            </w:pPr>
          </w:p>
        </w:tc>
        <w:tc>
          <w:tcPr>
            <w:tcW w:w="1478" w:type="dxa"/>
            <w:shd w:val="clear" w:color="auto" w:fill="FFFFFF"/>
            <w:vAlign w:val="center"/>
          </w:tcPr>
          <w:p>
            <w:pPr>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产出时效</w:t>
            </w: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完成及时性</w:t>
            </w:r>
          </w:p>
        </w:tc>
        <w:tc>
          <w:tcPr>
            <w:tcW w:w="3885" w:type="dxa"/>
            <w:tcBorders>
              <w:right w:val="single" w:color="auto" w:sz="4" w:space="0"/>
            </w:tcBorders>
            <w:shd w:val="clear" w:color="000000"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项目实际完成时间与计划完成时间的比较，用以反映和考核项目产出时效目标的实现程度。</w:t>
            </w:r>
          </w:p>
        </w:tc>
        <w:tc>
          <w:tcPr>
            <w:tcW w:w="990" w:type="dxa"/>
            <w:tcBorders>
              <w:left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8</w:t>
            </w:r>
          </w:p>
        </w:tc>
        <w:tc>
          <w:tcPr>
            <w:tcW w:w="874" w:type="dxa"/>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8</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757" w:type="dxa"/>
            <w:vMerge w:val="continue"/>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产出成本</w:t>
            </w: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成本节约率</w:t>
            </w:r>
          </w:p>
        </w:tc>
        <w:tc>
          <w:tcPr>
            <w:tcW w:w="3885" w:type="dxa"/>
            <w:tcBorders>
              <w:right w:val="single" w:color="auto" w:sz="4" w:space="0"/>
            </w:tcBorders>
            <w:shd w:val="clear" w:color="auto"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完成项目计划工作目标的实际节约成本与计划成本的比率，用以反映和考核项目的成本节约程度。</w:t>
            </w:r>
          </w:p>
        </w:tc>
        <w:tc>
          <w:tcPr>
            <w:tcW w:w="990" w:type="dxa"/>
            <w:tcBorders>
              <w:left w:val="single" w:color="auto" w:sz="4" w:space="0"/>
            </w:tcBorders>
            <w:shd w:val="clear" w:color="auto"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7</w:t>
            </w:r>
          </w:p>
        </w:tc>
        <w:tc>
          <w:tcPr>
            <w:tcW w:w="874" w:type="dxa"/>
            <w:shd w:val="clear" w:color="auto"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7</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05" w:hRule="atLeast"/>
          <w:jc w:val="center"/>
        </w:trPr>
        <w:tc>
          <w:tcPr>
            <w:tcW w:w="757" w:type="dxa"/>
            <w:vMerge w:val="restart"/>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效益　</w:t>
            </w:r>
          </w:p>
        </w:tc>
        <w:tc>
          <w:tcPr>
            <w:tcW w:w="1478" w:type="dxa"/>
            <w:vMerge w:val="restart"/>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项目效益　</w:t>
            </w: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实施效益</w:t>
            </w:r>
          </w:p>
        </w:tc>
        <w:tc>
          <w:tcPr>
            <w:tcW w:w="3885" w:type="dxa"/>
            <w:tcBorders>
              <w:right w:val="single" w:color="auto" w:sz="4" w:space="0"/>
            </w:tcBorders>
            <w:shd w:val="clear" w:color="auto"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项目实施所产生的效益。</w:t>
            </w:r>
          </w:p>
        </w:tc>
        <w:tc>
          <w:tcPr>
            <w:tcW w:w="990" w:type="dxa"/>
            <w:tcBorders>
              <w:left w:val="single" w:color="auto" w:sz="4" w:space="0"/>
            </w:tcBorders>
            <w:shd w:val="clear" w:color="auto"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20</w:t>
            </w:r>
          </w:p>
        </w:tc>
        <w:tc>
          <w:tcPr>
            <w:tcW w:w="874" w:type="dxa"/>
            <w:shd w:val="clear" w:color="auto"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20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20" w:hRule="atLeast"/>
          <w:jc w:val="center"/>
        </w:trPr>
        <w:tc>
          <w:tcPr>
            <w:tcW w:w="757" w:type="dxa"/>
            <w:vMerge w:val="continue"/>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vMerge w:val="continue"/>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满意度</w:t>
            </w:r>
          </w:p>
        </w:tc>
        <w:tc>
          <w:tcPr>
            <w:tcW w:w="3885" w:type="dxa"/>
            <w:tcBorders>
              <w:right w:val="single" w:color="auto" w:sz="4" w:space="0"/>
            </w:tcBorders>
            <w:shd w:val="clear" w:color="000000"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社会公众或服务对象对项目实施效果的满意程度。</w:t>
            </w:r>
          </w:p>
        </w:tc>
        <w:tc>
          <w:tcPr>
            <w:tcW w:w="990" w:type="dxa"/>
            <w:tcBorders>
              <w:left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10</w:t>
            </w:r>
          </w:p>
        </w:tc>
        <w:tc>
          <w:tcPr>
            <w:tcW w:w="874" w:type="dxa"/>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10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b/>
                <w:bCs/>
                <w:color w:val="auto"/>
                <w:kern w:val="0"/>
                <w:sz w:val="24"/>
                <w:highlight w:val="none"/>
              </w:rPr>
              <w:t>总分</w:t>
            </w:r>
          </w:p>
        </w:tc>
        <w:tc>
          <w:tcPr>
            <w:tcW w:w="3885" w:type="dxa"/>
            <w:tcBorders>
              <w:right w:val="single" w:color="auto" w:sz="4" w:space="0"/>
            </w:tcBorders>
            <w:shd w:val="clear" w:color="auto" w:fill="FFFFFF"/>
            <w:vAlign w:val="top"/>
          </w:tcPr>
          <w:p>
            <w:pPr>
              <w:widowControl/>
              <w:spacing w:line="400" w:lineRule="exact"/>
              <w:jc w:val="center"/>
              <w:rPr>
                <w:rFonts w:hint="eastAsia" w:ascii="仿宋_GB2312" w:hAnsi="仿宋_GB2312" w:cs="仿宋_GB2312"/>
                <w:color w:val="auto"/>
                <w:kern w:val="0"/>
                <w:sz w:val="24"/>
                <w:highlight w:val="none"/>
              </w:rPr>
            </w:pPr>
          </w:p>
        </w:tc>
        <w:tc>
          <w:tcPr>
            <w:tcW w:w="990" w:type="dxa"/>
            <w:tcBorders>
              <w:lef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100</w:t>
            </w:r>
          </w:p>
        </w:tc>
        <w:tc>
          <w:tcPr>
            <w:tcW w:w="874" w:type="dxa"/>
            <w:shd w:val="clear" w:color="auto" w:fill="FFFFFF"/>
            <w:vAlign w:val="center"/>
          </w:tcPr>
          <w:p>
            <w:pPr>
              <w:widowControl/>
              <w:spacing w:line="400" w:lineRule="exact"/>
              <w:jc w:val="center"/>
              <w:rPr>
                <w:rFonts w:hint="default" w:ascii="仿宋_GB2312" w:hAnsi="仿宋_GB2312" w:eastAsia="仿宋_GB2312" w:cs="仿宋_GB2312"/>
                <w:color w:val="auto"/>
                <w:kern w:val="0"/>
                <w:sz w:val="24"/>
                <w:highlight w:val="none"/>
                <w:lang w:val="en-US" w:eastAsia="zh-CN"/>
              </w:rPr>
            </w:pPr>
            <w:r>
              <w:rPr>
                <w:rFonts w:hint="eastAsia" w:ascii="仿宋_GB2312" w:hAnsi="仿宋_GB2312" w:cs="仿宋_GB2312"/>
                <w:color w:val="auto"/>
                <w:kern w:val="0"/>
                <w:sz w:val="24"/>
                <w:highlight w:val="none"/>
                <w:lang w:val="en-US" w:eastAsia="zh-CN"/>
              </w:rPr>
              <w:t>95.5</w:t>
            </w:r>
          </w:p>
        </w:tc>
      </w:tr>
    </w:tbl>
    <w:p>
      <w:pPr>
        <w:spacing w:line="560" w:lineRule="exact"/>
        <w:rPr>
          <w:rFonts w:hint="eastAsia" w:ascii="仿宋_GB2312" w:hAnsi="仿宋_GB2312" w:cs="仿宋_GB2312"/>
          <w:color w:val="auto"/>
          <w:highlight w:val="none"/>
        </w:rPr>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8CA7444"/>
    <w:multiLevelType w:val="multilevel"/>
    <w:tmpl w:val="68CA7444"/>
    <w:lvl w:ilvl="0" w:tentative="0">
      <w:start w:val="1"/>
      <w:numFmt w:val="chineseCountingThousand"/>
      <w:pStyle w:val="31"/>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68CA744F"/>
    <w:multiLevelType w:val="singleLevel"/>
    <w:tmpl w:val="68CA744F"/>
    <w:lvl w:ilvl="0" w:tentative="0">
      <w:start w:val="3"/>
      <w:numFmt w:val="decimal"/>
      <w:suff w:val="nothing"/>
      <w:lvlText w:val="%1．"/>
      <w:lvlJc w:val="left"/>
      <w:rPr>
        <w:rFonts w:hint="default"/>
        <w:b/>
        <w:bCs/>
        <w:color w:val="auto"/>
      </w:rPr>
    </w:lvl>
  </w:abstractNum>
  <w:abstractNum w:abstractNumId="2">
    <w:nsid w:val="68CA745A"/>
    <w:multiLevelType w:val="singleLevel"/>
    <w:tmpl w:val="68CA745A"/>
    <w:lvl w:ilvl="0" w:tentative="0">
      <w:start w:val="2"/>
      <w:numFmt w:val="decimal"/>
      <w:suff w:val="nothing"/>
      <w:lvlText w:val="%1．"/>
      <w:lvlJc w:val="left"/>
      <w:rPr>
        <w:rFonts w:hint="default"/>
        <w:b/>
        <w:bCs/>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NGZlMjdkODEyNTc2ZDAwN2RkM2JkNjRmYzZhOGM2MzQifQ=="/>
  </w:docVars>
  <w:rsids>
    <w:rsidRoot w:val="00000000"/>
    <w:rsid w:val="16997809"/>
    <w:rsid w:val="364C597D"/>
    <w:rsid w:val="49D82EE6"/>
    <w:rsid w:val="79526127"/>
  </w:rsids>
  <m:mathPr>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7"/>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18"/>
    <w:qFormat/>
    <w:uiPriority w:val="0"/>
    <w:pPr>
      <w:keepNext/>
      <w:keepLines/>
      <w:spacing w:before="260" w:after="260" w:line="416" w:lineRule="auto"/>
      <w:outlineLvl w:val="1"/>
    </w:pPr>
    <w:rPr>
      <w:rFonts w:ascii="Cambria" w:hAnsi="Cambria" w:eastAsia="宋体" w:cs="Times New Roman"/>
      <w:b/>
      <w:bCs/>
      <w:sz w:val="32"/>
      <w:szCs w:val="32"/>
    </w:rPr>
  </w:style>
  <w:style w:type="paragraph" w:styleId="2">
    <w:name w:val="heading 3"/>
    <w:basedOn w:val="1"/>
    <w:next w:val="1"/>
    <w:qFormat/>
    <w:uiPriority w:val="99"/>
    <w:pPr>
      <w:keepNext/>
      <w:keepLines/>
      <w:ind w:firstLine="883"/>
      <w:outlineLvl w:val="2"/>
    </w:pPr>
    <w:rPr>
      <w:b/>
      <w:bCs/>
      <w:kern w:val="0"/>
      <w:szCs w:val="32"/>
    </w:rPr>
  </w:style>
  <w:style w:type="paragraph" w:styleId="5">
    <w:name w:val="heading 4"/>
    <w:basedOn w:val="1"/>
    <w:next w:val="1"/>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rPr>
  </w:style>
  <w:style w:type="character" w:default="1" w:styleId="12">
    <w:name w:val="Default Paragraph Font"/>
    <w:semiHidden/>
    <w:qFormat/>
    <w:uiPriority w:val="0"/>
  </w:style>
  <w:style w:type="table" w:default="1" w:styleId="10">
    <w:name w:val="Normal Table"/>
    <w:semiHidden/>
    <w:uiPriority w:val="0"/>
    <w:tblPr>
      <w:tblCellMar>
        <w:top w:w="0" w:type="dxa"/>
        <w:left w:w="108" w:type="dxa"/>
        <w:bottom w:w="0" w:type="dxa"/>
        <w:right w:w="108" w:type="dxa"/>
      </w:tblCellMar>
    </w:tblPr>
  </w:style>
  <w:style w:type="paragraph" w:styleId="6">
    <w:name w:val="Body Text"/>
    <w:basedOn w:val="1"/>
    <w:qFormat/>
    <w:uiPriority w:val="0"/>
  </w:style>
  <w:style w:type="paragraph" w:styleId="7">
    <w:name w:val="Balloon Text"/>
    <w:basedOn w:val="1"/>
    <w:link w:val="20"/>
    <w:qFormat/>
    <w:uiPriority w:val="0"/>
    <w:rPr>
      <w:sz w:val="18"/>
      <w:szCs w:val="18"/>
    </w:rPr>
  </w:style>
  <w:style w:type="paragraph" w:styleId="8">
    <w:name w:val="footer"/>
    <w:basedOn w:val="1"/>
    <w:link w:val="21"/>
    <w:qFormat/>
    <w:uiPriority w:val="0"/>
    <w:pPr>
      <w:tabs>
        <w:tab w:val="center" w:pos="4153"/>
        <w:tab w:val="right" w:pos="8306"/>
      </w:tabs>
      <w:snapToGrid w:val="0"/>
      <w:jc w:val="left"/>
    </w:pPr>
    <w:rPr>
      <w:sz w:val="18"/>
      <w:szCs w:val="18"/>
    </w:rPr>
  </w:style>
  <w:style w:type="paragraph" w:styleId="9">
    <w:name w:val="header"/>
    <w:basedOn w:val="1"/>
    <w:link w:val="22"/>
    <w:uiPriority w:val="0"/>
    <w:pPr>
      <w:pBdr>
        <w:bottom w:val="single" w:color="auto" w:sz="6" w:space="1"/>
      </w:pBdr>
      <w:tabs>
        <w:tab w:val="center" w:pos="4153"/>
        <w:tab w:val="right" w:pos="8306"/>
      </w:tabs>
      <w:snapToGrid w:val="0"/>
      <w:jc w:val="center"/>
    </w:pPr>
    <w:rPr>
      <w:sz w:val="18"/>
      <w:szCs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qFormat/>
    <w:uiPriority w:val="0"/>
    <w:rPr>
      <w:b/>
      <w:bCs/>
    </w:rPr>
  </w:style>
  <w:style w:type="paragraph" w:customStyle="1" w:styleId="14">
    <w:name w:val="Comment Text"/>
    <w:basedOn w:val="1"/>
    <w:link w:val="19"/>
    <w:qFormat/>
    <w:uiPriority w:val="0"/>
    <w:pPr>
      <w:jc w:val="left"/>
    </w:pPr>
  </w:style>
  <w:style w:type="paragraph" w:customStyle="1" w:styleId="15">
    <w:name w:val="Comment Subject"/>
    <w:basedOn w:val="14"/>
    <w:next w:val="14"/>
    <w:link w:val="23"/>
    <w:uiPriority w:val="0"/>
    <w:rPr>
      <w:b/>
      <w:bCs/>
    </w:rPr>
  </w:style>
  <w:style w:type="character" w:customStyle="1" w:styleId="16">
    <w:name w:val="Comment Reference"/>
    <w:uiPriority w:val="0"/>
    <w:rPr>
      <w:sz w:val="21"/>
      <w:szCs w:val="21"/>
    </w:rPr>
  </w:style>
  <w:style w:type="character" w:customStyle="1" w:styleId="17">
    <w:name w:val="标题 1 字符"/>
    <w:link w:val="3"/>
    <w:qFormat/>
    <w:uiPriority w:val="0"/>
    <w:rPr>
      <w:rFonts w:eastAsia="仿宋_GB2312"/>
      <w:b/>
      <w:bCs/>
      <w:kern w:val="44"/>
      <w:sz w:val="44"/>
      <w:szCs w:val="44"/>
    </w:rPr>
  </w:style>
  <w:style w:type="character" w:customStyle="1" w:styleId="18">
    <w:name w:val="标题 2 字符"/>
    <w:link w:val="4"/>
    <w:semiHidden/>
    <w:uiPriority w:val="0"/>
    <w:rPr>
      <w:rFonts w:ascii="Cambria" w:hAnsi="Cambria" w:eastAsia="宋体" w:cs="Times New Roman"/>
      <w:b/>
      <w:bCs/>
      <w:kern w:val="2"/>
      <w:sz w:val="32"/>
      <w:szCs w:val="32"/>
    </w:rPr>
  </w:style>
  <w:style w:type="character" w:customStyle="1" w:styleId="19">
    <w:name w:val="批注文字 字符"/>
    <w:link w:val="14"/>
    <w:uiPriority w:val="0"/>
    <w:rPr>
      <w:rFonts w:eastAsia="仿宋_GB2312"/>
      <w:kern w:val="2"/>
      <w:sz w:val="30"/>
      <w:szCs w:val="24"/>
    </w:rPr>
  </w:style>
  <w:style w:type="character" w:customStyle="1" w:styleId="20">
    <w:name w:val="批注框文本 字符"/>
    <w:link w:val="7"/>
    <w:qFormat/>
    <w:uiPriority w:val="0"/>
    <w:rPr>
      <w:rFonts w:eastAsia="仿宋_GB2312"/>
      <w:kern w:val="2"/>
      <w:sz w:val="18"/>
      <w:szCs w:val="18"/>
    </w:rPr>
  </w:style>
  <w:style w:type="character" w:customStyle="1" w:styleId="21">
    <w:name w:val="页脚 字符"/>
    <w:link w:val="8"/>
    <w:uiPriority w:val="0"/>
    <w:rPr>
      <w:rFonts w:eastAsia="仿宋_GB2312"/>
      <w:kern w:val="2"/>
      <w:sz w:val="18"/>
      <w:szCs w:val="18"/>
    </w:rPr>
  </w:style>
  <w:style w:type="character" w:customStyle="1" w:styleId="22">
    <w:name w:val="页眉 字符"/>
    <w:link w:val="9"/>
    <w:uiPriority w:val="0"/>
    <w:rPr>
      <w:rFonts w:eastAsia="仿宋_GB2312"/>
      <w:kern w:val="2"/>
      <w:sz w:val="18"/>
      <w:szCs w:val="18"/>
    </w:rPr>
  </w:style>
  <w:style w:type="character" w:customStyle="1" w:styleId="23">
    <w:name w:val="批注主题 字符"/>
    <w:link w:val="15"/>
    <w:qFormat/>
    <w:uiPriority w:val="0"/>
    <w:rPr>
      <w:rFonts w:eastAsia="仿宋_GB2312"/>
      <w:b/>
      <w:bCs/>
      <w:kern w:val="2"/>
      <w:sz w:val="30"/>
      <w:szCs w:val="24"/>
    </w:rPr>
  </w:style>
  <w:style w:type="character" w:customStyle="1" w:styleId="24">
    <w:name w:val="闻政正文 Char"/>
    <w:link w:val="25"/>
    <w:qFormat/>
    <w:uiPriority w:val="0"/>
    <w:rPr>
      <w:rFonts w:eastAsia="仿宋_GB2312"/>
      <w:sz w:val="28"/>
      <w:szCs w:val="28"/>
    </w:rPr>
  </w:style>
  <w:style w:type="paragraph" w:customStyle="1" w:styleId="25">
    <w:name w:val="闻政正文"/>
    <w:basedOn w:val="1"/>
    <w:link w:val="24"/>
    <w:qFormat/>
    <w:uiPriority w:val="0"/>
    <w:pPr>
      <w:spacing w:line="500" w:lineRule="exact"/>
      <w:ind w:firstLine="560" w:firstLineChars="200"/>
    </w:pPr>
    <w:rPr>
      <w:kern w:val="0"/>
      <w:sz w:val="28"/>
      <w:szCs w:val="28"/>
    </w:rPr>
  </w:style>
  <w:style w:type="character" w:customStyle="1" w:styleId="26">
    <w:name w:val="Body text|1_"/>
    <w:link w:val="27"/>
    <w:uiPriority w:val="0"/>
    <w:rPr>
      <w:rFonts w:ascii="宋体" w:hAnsi="宋体" w:cs="宋体"/>
      <w:kern w:val="2"/>
      <w:sz w:val="30"/>
      <w:szCs w:val="30"/>
      <w:lang w:val="zh-TW" w:eastAsia="zh-TW" w:bidi="zh-TW"/>
    </w:rPr>
  </w:style>
  <w:style w:type="paragraph" w:customStyle="1" w:styleId="27">
    <w:name w:val="Body text|1"/>
    <w:basedOn w:val="1"/>
    <w:link w:val="26"/>
    <w:qFormat/>
    <w:uiPriority w:val="0"/>
    <w:pPr>
      <w:spacing w:line="420" w:lineRule="auto"/>
      <w:ind w:firstLine="400"/>
    </w:pPr>
    <w:rPr>
      <w:rFonts w:ascii="宋体" w:hAnsi="宋体" w:eastAsia="宋体" w:cs="宋体"/>
      <w:szCs w:val="30"/>
      <w:lang w:val="zh-TW" w:eastAsia="zh-TW" w:bidi="zh-TW"/>
    </w:rPr>
  </w:style>
  <w:style w:type="character" w:customStyle="1" w:styleId="28">
    <w:name w:val="闻政-正文三级标题 Char"/>
    <w:link w:val="29"/>
    <w:uiPriority w:val="3"/>
    <w:rPr>
      <w:rFonts w:eastAsia="仿宋_GB2312"/>
      <w:b/>
      <w:snapToGrid w:val="0"/>
      <w:sz w:val="28"/>
      <w:szCs w:val="28"/>
    </w:rPr>
  </w:style>
  <w:style w:type="paragraph" w:customStyle="1" w:styleId="29">
    <w:name w:val="闻政-正文三级标题"/>
    <w:basedOn w:val="1"/>
    <w:next w:val="1"/>
    <w:link w:val="28"/>
    <w:qFormat/>
    <w:uiPriority w:val="3"/>
    <w:pPr>
      <w:widowControl/>
      <w:spacing w:before="120" w:after="60" w:line="500" w:lineRule="exact"/>
      <w:ind w:left="200" w:leftChars="200"/>
    </w:pPr>
    <w:rPr>
      <w:b/>
      <w:snapToGrid w:val="0"/>
      <w:kern w:val="0"/>
      <w:sz w:val="28"/>
      <w:szCs w:val="28"/>
    </w:rPr>
  </w:style>
  <w:style w:type="paragraph" w:customStyle="1" w:styleId="30">
    <w:name w:val="Other|1"/>
    <w:basedOn w:val="1"/>
    <w:qFormat/>
    <w:uiPriority w:val="0"/>
    <w:pPr>
      <w:spacing w:line="420" w:lineRule="auto"/>
      <w:ind w:firstLine="400"/>
    </w:pPr>
    <w:rPr>
      <w:rFonts w:ascii="宋体" w:hAnsi="宋体" w:eastAsia="宋体" w:cs="宋体"/>
      <w:szCs w:val="30"/>
      <w:lang w:val="zh-TW" w:eastAsia="zh-TW" w:bidi="zh-TW"/>
    </w:rPr>
  </w:style>
  <w:style w:type="paragraph" w:customStyle="1" w:styleId="31">
    <w:name w:val="标题2"/>
    <w:basedOn w:val="4"/>
    <w:qFormat/>
    <w:uiPriority w:val="0"/>
    <w:pPr>
      <w:numPr>
        <w:ilvl w:val="0"/>
        <w:numId w:val="1"/>
      </w:numPr>
      <w:spacing w:before="120" w:after="120" w:line="500" w:lineRule="exact"/>
    </w:pPr>
    <w:rPr>
      <w:rFonts w:ascii="仿宋_GB2312" w:eastAsia="仿宋_GB2312" w:cs="Times New Roman"/>
    </w:rPr>
  </w:style>
  <w:style w:type="paragraph" w:customStyle="1" w:styleId="32">
    <w:name w:val="标题1"/>
    <w:basedOn w:val="3"/>
    <w:next w:val="1"/>
    <w:qFormat/>
    <w:uiPriority w:val="0"/>
    <w:pPr>
      <w:spacing w:before="120" w:after="120" w:line="500" w:lineRule="exact"/>
      <w:ind w:firstLine="200" w:firstLineChars="200"/>
    </w:pPr>
    <w:rPr>
      <w:rFonts w:eastAsia="黑体"/>
      <w:sz w:val="32"/>
      <w:szCs w:val="32"/>
    </w:rPr>
  </w:style>
  <w:style w:type="paragraph" w:customStyle="1" w:styleId="33">
    <w:name w:val="List Paragraph"/>
    <w:basedOn w:val="1"/>
    <w:qFormat/>
    <w:uiPriority w:val="34"/>
    <w:pPr>
      <w:ind w:firstLine="420" w:firstLineChars="200"/>
    </w:pPr>
    <w:rPr>
      <w:rFonts w:ascii="Calibri" w:hAnsi="Calibri" w:eastAsia="宋体" w:cs="Times New Roman"/>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56E5E4802E28433E8845C0CC3A796EA1_13</vt:lpwstr>
  </property>
  <property fmtid="{D5CDD505-2E9C-101B-9397-08002B2CF9AE}" pid="4" name="KSOTemplateDocerSaveRecord">
    <vt:lpwstr>eyJoZGlkIjoiYzZkNzQ4ZWFiZmQ4NTRhOWRkZTk3YTMwMjlmMmZhYmUiLCJ1c2VySWQiOiI1NzgxMjU4NDIifQ==</vt:lpwstr>
  </property>
</Properties>
</file>

<file path=customXml/itemProps1.xml><?xml version="1.0" encoding="utf-8"?>
<ds:datastoreItem xmlns:ds="http://schemas.openxmlformats.org/officeDocument/2006/customXml" ds:itemID="{054cd9c7-5f92-48fd-a420-6900b6e726a3}">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21</Pages>
  <Words>1419</Words>
  <Characters>8090</Characters>
  <Lines>67</Lines>
  <Paragraphs>18</Paragraphs>
  <TotalTime>23</TotalTime>
  <ScaleCrop>false</ScaleCrop>
  <LinksUpToDate>false</LinksUpToDate>
  <CharactersWithSpaces>9491</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2020-05-07T10:25:00Z</dcterms:created>
  <dc:creator>chenliangpingcz</dc:creator>
  <cp:lastModifiedBy>Administrator</cp:lastModifiedBy>
  <dcterms:modified xsi:type="dcterms:W3CDTF">2025-09-30T12:04:36Z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56E5E4802E28433E8845C0CC3A796EA1_13</vt:lpwstr>
  </property>
  <property fmtid="{D5CDD505-2E9C-101B-9397-08002B2CF9AE}" pid="4" name="KSOTemplateDocerSaveRecord">
    <vt:lpwstr>eyJoZGlkIjoiYzZkNzQ4ZWFiZmQ4NTRhOWRkZTk3YTMwMjlmMmZhYmUiLCJ1c2VySWQiOiI1NzgxMjU4NDIifQ_x003D__x003D_</vt:lpwstr>
  </property>
</Properties>
</file>