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阿图什市自然资源局2024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履行全民所有土地、矿产、森林、草原、湿地、水资源等自然资源资产所有者职责和所有国土空间用途管制职责。贯彻执行自然资源和国土空间规划及测绘等法律法规，组织拟定阿图什市自然资源发展规划战略和林业发展战略、中长期规划；组织开展全市森林资源、陆生野生动植物资源、湿地和荒漠的调查、动态监测和评估，并统一发布相关信息。</w:t>
      </w:r>
    </w:p>
    <w:p>
      <w:pPr>
        <w:spacing w:line="580" w:lineRule="exact"/>
        <w:ind w:firstLine="640"/>
        <w:jc w:val="both"/>
      </w:pPr>
      <w:r>
        <w:rPr>
          <w:rFonts w:ascii="仿宋_GB2312" w:hAnsi="仿宋_GB2312" w:eastAsia="仿宋_GB2312"/>
          <w:sz w:val="32"/>
        </w:rPr>
        <w:t>2.负责自然资源调查监测评价。贯彻执行自然资源调查监测评价的指标体系和统计标准，建立统一规范的自然资源调查监测评价制度。实施自然资源基础调查、专项调查和监测。负责城乡控制性详细规划、分区规划，统筹衔接其他种类专项规划。开展国土空间开发适宜性评价，建立国土空间规划实施监测、评估体系。</w:t>
      </w:r>
    </w:p>
    <w:p>
      <w:pPr>
        <w:spacing w:line="580" w:lineRule="exact"/>
        <w:ind w:firstLine="640"/>
        <w:jc w:val="both"/>
      </w:pPr>
      <w:r>
        <w:rPr>
          <w:rFonts w:ascii="仿宋_GB2312" w:hAnsi="仿宋_GB2312" w:eastAsia="仿宋_GB2312"/>
          <w:sz w:val="32"/>
        </w:rPr>
        <w:t>3.负责统筹国土空间生态修复。牵头组织编制国土空间生态修复规划并实施有关生态修复重大工程。牵头实施</w:t>
      </w:r>
      <w:r>
        <w:rPr>
          <w:rFonts w:hint="eastAsia" w:ascii="仿宋_GB2312" w:hAnsi="仿宋_GB2312" w:eastAsia="仿宋_GB2312"/>
          <w:sz w:val="32"/>
          <w:lang w:eastAsia="zh-CN"/>
        </w:rPr>
        <w:t>生态保护补偿制度</w:t>
      </w:r>
      <w:r>
        <w:rPr>
          <w:rFonts w:ascii="仿宋_GB2312" w:hAnsi="仿宋_GB2312" w:eastAsia="仿宋_GB2312"/>
          <w:sz w:val="32"/>
        </w:rPr>
        <w:t>，制定合理利用社会资金进行生态修复的政策措施，提出重大备选项目。</w:t>
      </w:r>
    </w:p>
    <w:p>
      <w:pPr>
        <w:spacing w:line="580" w:lineRule="exact"/>
        <w:ind w:firstLine="640"/>
        <w:jc w:val="both"/>
      </w:pPr>
      <w:r>
        <w:rPr>
          <w:rFonts w:ascii="仿宋_GB2312" w:hAnsi="仿宋_GB2312" w:eastAsia="仿宋_GB2312"/>
          <w:sz w:val="32"/>
        </w:rPr>
        <w:t>4.负责组织实施最严格的耕地保护制度。贯彻执行耕地保护政策，负责耕地数量、质量、生态保护。组织实施耕地保护责任目标考核和永久基本农田特殊保护。落实耕地占补平衡制度，监</w:t>
      </w:r>
      <w:r>
        <w:rPr>
          <w:rFonts w:ascii="仿宋_GB2312" w:hAnsi="仿宋_GB2312" w:eastAsia="仿宋_GB2312"/>
          <w:sz w:val="32"/>
          <w:shd w:val="clear"/>
        </w:rPr>
        <w:t>督</w:t>
      </w:r>
      <w:r>
        <w:rPr>
          <w:rFonts w:hint="eastAsia" w:ascii="仿宋_GB2312" w:hAnsi="仿宋_GB2312" w:eastAsia="仿宋_GB2312"/>
          <w:sz w:val="32"/>
          <w:shd w:val="clear"/>
          <w:lang w:val="en-US" w:eastAsia="zh-CN"/>
        </w:rPr>
        <w:t>占用耕地</w:t>
      </w:r>
      <w:r>
        <w:rPr>
          <w:rFonts w:ascii="仿宋_GB2312" w:hAnsi="仿宋_GB2312" w:eastAsia="仿宋_GB2312"/>
          <w:sz w:val="32"/>
          <w:shd w:val="clear"/>
        </w:rPr>
        <w:t>补偿</w:t>
      </w:r>
      <w:r>
        <w:rPr>
          <w:rFonts w:ascii="仿宋_GB2312" w:hAnsi="仿宋_GB2312" w:eastAsia="仿宋_GB2312"/>
          <w:sz w:val="32"/>
        </w:rPr>
        <w:t>制度执行情况。</w:t>
      </w:r>
    </w:p>
    <w:p>
      <w:pPr>
        <w:spacing w:line="580" w:lineRule="exact"/>
        <w:ind w:firstLine="640"/>
        <w:jc w:val="both"/>
      </w:pPr>
      <w:r>
        <w:rPr>
          <w:rFonts w:ascii="仿宋_GB2312" w:hAnsi="仿宋_GB2312" w:eastAsia="仿宋_GB2312"/>
          <w:sz w:val="32"/>
        </w:rPr>
        <w:t>5.负责管理地质勘查相关工作。组织实施全市地质调查和矿产资源勘查，监管市域内地质勘查项目，负责古生物化石的监督管理。</w:t>
      </w:r>
    </w:p>
    <w:p>
      <w:pPr>
        <w:spacing w:line="580" w:lineRule="exact"/>
        <w:ind w:firstLine="640"/>
        <w:jc w:val="both"/>
      </w:pPr>
      <w:r>
        <w:rPr>
          <w:rFonts w:ascii="仿宋_GB2312" w:hAnsi="仿宋_GB2312" w:eastAsia="仿宋_GB2312"/>
          <w:sz w:val="32"/>
        </w:rPr>
        <w:t>6.负责矿产资源管理工作。负责矿产地储备、压覆矿产资源管理。会同有关部门承担保护性开采的特定矿种、优势矿产的调控及相关管理工作。监督指导矿产资源合理利用和保护。</w:t>
      </w:r>
    </w:p>
    <w:p>
      <w:pPr>
        <w:spacing w:line="580" w:lineRule="exact"/>
        <w:ind w:firstLine="640"/>
        <w:jc w:val="both"/>
      </w:pPr>
      <w:r>
        <w:rPr>
          <w:rFonts w:ascii="仿宋_GB2312" w:hAnsi="仿宋_GB2312" w:eastAsia="仿宋_GB2312"/>
          <w:sz w:val="32"/>
        </w:rPr>
        <w:t>7.负责测绘地理信息管理工作。负责基础测绘和测绘行业管理。负责测绘资质资格与信用管理，监督管理地理信息安全和市场秩序。负责地理信息公共服务和地图管理。组织实施全市测量标志的巡查和保护。加强地理信息成果平台建设和推广应用。</w:t>
      </w:r>
    </w:p>
    <w:p>
      <w:pPr>
        <w:spacing w:line="580" w:lineRule="exact"/>
        <w:ind w:firstLine="640"/>
        <w:jc w:val="both"/>
      </w:pPr>
      <w:r>
        <w:rPr>
          <w:rFonts w:ascii="仿宋_GB2312" w:hAnsi="仿宋_GB2312" w:eastAsia="仿宋_GB2312"/>
          <w:sz w:val="32"/>
        </w:rPr>
        <w:t>8.负责城市规划区范围内的各项建设工程的规划审批与规划管理及</w:t>
      </w:r>
      <w:r>
        <w:rPr>
          <w:rFonts w:hint="eastAsia" w:ascii="仿宋_GB2312" w:hAnsi="仿宋_GB2312" w:eastAsia="仿宋_GB2312"/>
          <w:sz w:val="32"/>
          <w:lang w:eastAsia="zh-CN"/>
        </w:rPr>
        <w:t>审</w:t>
      </w:r>
      <w:r>
        <w:rPr>
          <w:rFonts w:ascii="仿宋_GB2312" w:hAnsi="仿宋_GB2312" w:eastAsia="仿宋_GB2312"/>
          <w:sz w:val="32"/>
        </w:rPr>
        <w:t>批后管理、监察及日常工作。</w:t>
      </w:r>
    </w:p>
    <w:p>
      <w:pPr>
        <w:spacing w:line="580" w:lineRule="exact"/>
        <w:ind w:firstLine="640"/>
        <w:jc w:val="both"/>
      </w:pPr>
      <w:r>
        <w:rPr>
          <w:rFonts w:ascii="仿宋_GB2312" w:hAnsi="仿宋_GB2312" w:eastAsia="仿宋_GB2312"/>
          <w:sz w:val="32"/>
        </w:rPr>
        <w:t>9.按规定要求，承担对口事业服务机构业务工作的指导、协调和监督职责。</w:t>
      </w:r>
    </w:p>
    <w:p>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lang w:val="en-US" w:eastAsia="zh-CN"/>
        </w:rPr>
        <w:t>0</w:t>
      </w:r>
      <w:r>
        <w:rPr>
          <w:rFonts w:ascii="仿宋_GB2312" w:hAnsi="仿宋_GB2312" w:eastAsia="仿宋_GB2312"/>
          <w:sz w:val="32"/>
        </w:rPr>
        <w:t>.按照“管行业必须管安全、管业务必须管安全”的要求，对本行业领域安全生产负行业监管。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阿图什市自然资源局2024年度，实有人数91人，其中：在职人员49人，减少1人；离休人员0人，增加0人；退休人员42人,增加1人。</w:t>
      </w:r>
    </w:p>
    <w:p>
      <w:pPr>
        <w:spacing w:line="580" w:lineRule="exact"/>
        <w:ind w:firstLine="640"/>
        <w:jc w:val="both"/>
      </w:pPr>
      <w:r>
        <w:rPr>
          <w:rFonts w:ascii="仿宋_GB2312" w:hAnsi="仿宋_GB2312" w:eastAsia="仿宋_GB2312"/>
          <w:sz w:val="32"/>
        </w:rPr>
        <w:t>阿图什市自然资源局无下属预算单位，下设4个科室，分别是：办公室、综合业务室、地籍林政（不动产）室。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2024年度收入总计11,532.80万元，</w:t>
      </w:r>
      <w:r>
        <w:rPr>
          <w:rFonts w:ascii="仿宋_GB2312" w:hAnsi="仿宋_GB2312" w:eastAsia="仿宋_GB2312"/>
          <w:b w:val="0"/>
          <w:sz w:val="32"/>
        </w:rPr>
        <w:t>其中：本年收入合计11,532.80万元，使用非财政拨款结余（含专用结余）0.00万元，年初结转和结余0.00万元。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2024年度支出总计11,532.80万元，</w:t>
      </w:r>
      <w:r>
        <w:rPr>
          <w:rFonts w:ascii="仿宋_GB2312" w:hAnsi="仿宋_GB2312" w:eastAsia="仿宋_GB2312"/>
          <w:b w:val="0"/>
          <w:sz w:val="32"/>
        </w:rPr>
        <w:t>其中：本年支出合计11,532.80万元，结余分配0.00万元，年末结转和结余0.00万元。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收入支出总体与上年相比，减少1,872.43万元，下降13.97%，主要原因是：本年阿图什市哈拉峻乡城乡建设用地增减挂钩拆旧复垦项目资金较上年减少。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本年收入11,532.80万元，</w:t>
      </w:r>
      <w:r>
        <w:rPr>
          <w:rFonts w:ascii="仿宋_GB2312" w:hAnsi="仿宋_GB2312" w:eastAsia="仿宋_GB2312"/>
          <w:b w:val="0"/>
          <w:sz w:val="32"/>
        </w:rPr>
        <w:t>其中：财政拨款收入11,480.84万元，占99.55%；上级补助收入0.00万元，占0.00%；事业收入0.00万元，占0.00%；经营收入0.00万元，占0.00%；附属单位上缴收入0.00万元，占0.00%；其他收入51.96万元，占0.45%。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本年支出11,532.80万元，</w:t>
      </w:r>
      <w:r>
        <w:rPr>
          <w:rFonts w:ascii="仿宋_GB2312" w:hAnsi="仿宋_GB2312" w:eastAsia="仿宋_GB2312"/>
          <w:b w:val="0"/>
          <w:sz w:val="32"/>
        </w:rPr>
        <w:t>其中：基本支出1,626.96万元，占14.11%；项目支出9,905.84万元，占85.89%；上缴上级支出0.00万元，占0.00%；经营支出0.00万元，占0.00%；对附属单位补助支出0.00万元，占0.00%。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2024年度财政拨款收入总计11,480.84万元，</w:t>
      </w:r>
      <w:r>
        <w:rPr>
          <w:rFonts w:ascii="仿宋_GB2312" w:hAnsi="仿宋_GB2312" w:eastAsia="仿宋_GB2312"/>
          <w:b w:val="0"/>
          <w:sz w:val="32"/>
        </w:rPr>
        <w:t>其中：年初财政拨款结转和结余0.00万元，本年财政拨款收入11,480.84万元。</w:t>
      </w:r>
      <w:r>
        <w:rPr>
          <w:rFonts w:ascii="仿宋_GB2312" w:hAnsi="仿宋_GB2312" w:eastAsia="仿宋_GB2312"/>
          <w:b/>
          <w:sz w:val="32"/>
        </w:rPr>
        <w:t>财政拨款支出总计11,480.84万元，</w:t>
      </w:r>
      <w:r>
        <w:rPr>
          <w:rFonts w:ascii="仿宋_GB2312" w:hAnsi="仿宋_GB2312" w:eastAsia="仿宋_GB2312"/>
          <w:b w:val="0"/>
          <w:sz w:val="32"/>
        </w:rPr>
        <w:t>其中：年末财政拨款结转和结余0.00万元，本年财政拨款支出11,480.84万元。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减少1,924.39万元，下降14.36%，主要原因是：本年阿图什市哈拉峻乡城乡建设用地增减挂钩拆旧复垦项目资金，阿图什市危旧房屋和棚户区拆除改造项目资金较上年减少。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年初预算数28,223.94万元，决算数11,480.84万元，预决算差异率-59.32%，主要原因是：年中调减阿图什市哈拉峻乡城乡建设用地增减挂钩拆旧复垦项目资金，导致预决算存在差异。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2024年度一般公共预算财政拨款支出5,151.14万元，</w:t>
      </w:r>
      <w:r>
        <w:rPr>
          <w:rFonts w:ascii="仿宋_GB2312" w:hAnsi="仿宋_GB2312" w:eastAsia="仿宋_GB2312"/>
          <w:b w:val="0"/>
          <w:sz w:val="32"/>
        </w:rPr>
        <w:t>占本年支出合计的44.67%。</w:t>
      </w:r>
      <w:r>
        <w:rPr>
          <w:rFonts w:ascii="仿宋_GB2312" w:hAnsi="仿宋_GB2312" w:eastAsia="仿宋_GB2312"/>
          <w:b/>
          <w:sz w:val="32"/>
        </w:rPr>
        <w:t>与上年相比，</w:t>
      </w:r>
      <w:r>
        <w:rPr>
          <w:rFonts w:ascii="仿宋_GB2312" w:hAnsi="仿宋_GB2312" w:eastAsia="仿宋_GB2312"/>
          <w:b w:val="0"/>
          <w:sz w:val="32"/>
        </w:rPr>
        <w:t>减少2,829.43万元，下降35.45%，主要原因是：本年减少林果业有害生物统防统治及提质增效采购项目资金。</w:t>
      </w:r>
      <w:r>
        <w:rPr>
          <w:rFonts w:ascii="仿宋_GB2312" w:hAnsi="仿宋_GB2312" w:eastAsia="仿宋_GB2312"/>
          <w:b/>
          <w:sz w:val="32"/>
        </w:rPr>
        <w:t>与年初预算相比,</w:t>
      </w:r>
      <w:r>
        <w:rPr>
          <w:rFonts w:ascii="仿宋_GB2312" w:hAnsi="仿宋_GB2312" w:eastAsia="仿宋_GB2312"/>
          <w:b w:val="0"/>
          <w:sz w:val="32"/>
        </w:rPr>
        <w:t>年初预算数8,223.94万元，决算数5,151.14万元，预决算差异率-37.36%，主要原因是：年中调减阿图什市哈拉峻乡城乡建设用地增减挂钩拆旧复垦项目资金，导致预决算存在差异。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1.一般公共服务支出(类)10.95万元,占0.21%。</w:t>
      </w:r>
    </w:p>
    <w:p>
      <w:pPr>
        <w:spacing w:line="580" w:lineRule="exact"/>
        <w:ind w:firstLine="640"/>
        <w:jc w:val="both"/>
      </w:pPr>
      <w:r>
        <w:rPr>
          <w:rFonts w:ascii="仿宋_GB2312" w:hAnsi="仿宋_GB2312" w:eastAsia="仿宋_GB2312"/>
          <w:b w:val="0"/>
          <w:sz w:val="32"/>
        </w:rPr>
        <w:t>2.社会保障和就业支出(类)147.88万元,占2.87%。</w:t>
      </w:r>
    </w:p>
    <w:p>
      <w:pPr>
        <w:spacing w:line="580" w:lineRule="exact"/>
        <w:ind w:firstLine="640"/>
        <w:jc w:val="both"/>
      </w:pPr>
      <w:r>
        <w:rPr>
          <w:rFonts w:ascii="仿宋_GB2312" w:hAnsi="仿宋_GB2312" w:eastAsia="仿宋_GB2312"/>
          <w:b w:val="0"/>
          <w:sz w:val="32"/>
        </w:rPr>
        <w:t>3.卫生健康支出(类)31.88万元,占0.62%。</w:t>
      </w:r>
    </w:p>
    <w:p>
      <w:pPr>
        <w:spacing w:line="580" w:lineRule="exact"/>
        <w:ind w:firstLine="640"/>
        <w:jc w:val="both"/>
      </w:pPr>
      <w:r>
        <w:rPr>
          <w:rFonts w:ascii="仿宋_GB2312" w:hAnsi="仿宋_GB2312" w:eastAsia="仿宋_GB2312"/>
          <w:b w:val="0"/>
          <w:sz w:val="32"/>
        </w:rPr>
        <w:t>4.农林水支出(类)716.76万元,占13.91%。</w:t>
      </w:r>
    </w:p>
    <w:p>
      <w:pPr>
        <w:spacing w:line="580" w:lineRule="exact"/>
        <w:ind w:firstLine="640"/>
        <w:jc w:val="both"/>
      </w:pPr>
      <w:r>
        <w:rPr>
          <w:rFonts w:ascii="仿宋_GB2312" w:hAnsi="仿宋_GB2312" w:eastAsia="仿宋_GB2312"/>
          <w:b w:val="0"/>
          <w:sz w:val="32"/>
        </w:rPr>
        <w:t>5.交通运输支出(类)6.47万元,占0.13%。</w:t>
      </w:r>
    </w:p>
    <w:p>
      <w:pPr>
        <w:spacing w:line="580" w:lineRule="exact"/>
        <w:ind w:firstLine="640"/>
        <w:jc w:val="both"/>
      </w:pPr>
      <w:r>
        <w:rPr>
          <w:rFonts w:ascii="仿宋_GB2312" w:hAnsi="仿宋_GB2312" w:eastAsia="仿宋_GB2312"/>
          <w:b w:val="0"/>
          <w:sz w:val="32"/>
        </w:rPr>
        <w:t>6.自然资源海洋气象等支出(类)1,380.05万元,占26.79%。</w:t>
      </w:r>
    </w:p>
    <w:p>
      <w:pPr>
        <w:spacing w:line="580" w:lineRule="exact"/>
        <w:ind w:firstLine="640"/>
        <w:jc w:val="both"/>
      </w:pPr>
      <w:r>
        <w:rPr>
          <w:rFonts w:ascii="仿宋_GB2312" w:hAnsi="仿宋_GB2312" w:eastAsia="仿宋_GB2312"/>
          <w:b w:val="0"/>
          <w:sz w:val="32"/>
        </w:rPr>
        <w:t>7.住房保障支出(类)67.15万元,占1.30%。</w:t>
      </w:r>
    </w:p>
    <w:p>
      <w:pPr>
        <w:spacing w:line="580" w:lineRule="exact"/>
        <w:ind w:firstLine="640"/>
        <w:jc w:val="both"/>
      </w:pPr>
      <w:r>
        <w:rPr>
          <w:rFonts w:ascii="仿宋_GB2312" w:hAnsi="仿宋_GB2312" w:eastAsia="仿宋_GB2312"/>
          <w:b w:val="0"/>
          <w:sz w:val="32"/>
        </w:rPr>
        <w:t>8.灾害防治及应急管理支出(类)2,790.00万元,占54.16%。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1.一般公共服务支出(类)纪检监察事务(款)其他纪检监察事务支出(项)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支出决算数为0.00万元，比上年决算减少1.39万元，下降100.00%,主要原因是：本年减少市委八届第二轮巡查燃油费、伙食费支出。</w:t>
      </w:r>
    </w:p>
    <w:p>
      <w:pPr>
        <w:spacing w:line="580" w:lineRule="exact"/>
        <w:ind w:firstLine="640"/>
        <w:jc w:val="both"/>
      </w:pPr>
      <w:r>
        <w:rPr>
          <w:rFonts w:ascii="仿宋_GB2312" w:hAnsi="仿宋_GB2312" w:eastAsia="仿宋_GB2312"/>
          <w:b w:val="0"/>
          <w:sz w:val="32"/>
        </w:rPr>
        <w:t>2.一般公共服务支出(类)组织事务(款)其他组织事务支出(项)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支出决算数为10.95万元，比上年决算减少17.23万元，下降61.14%,主要原因是：本年减少为民办实事经费。</w:t>
      </w:r>
    </w:p>
    <w:p>
      <w:pPr>
        <w:spacing w:line="580" w:lineRule="exact"/>
        <w:ind w:firstLine="640"/>
        <w:jc w:val="both"/>
      </w:pPr>
      <w:r>
        <w:rPr>
          <w:rFonts w:ascii="仿宋_GB2312" w:hAnsi="仿宋_GB2312" w:eastAsia="仿宋_GB2312"/>
          <w:b w:val="0"/>
          <w:sz w:val="32"/>
        </w:rPr>
        <w:t>3.社会保障和就业支出(类)行政事业单位养老支出(款)行政单位离退休(项)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支出决算数为47.75万元，比上年决算增加10.72万元，增长28.95%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pPr>
        <w:spacing w:line="580" w:lineRule="exact"/>
        <w:ind w:firstLine="640"/>
        <w:jc w:val="both"/>
      </w:pPr>
      <w:r>
        <w:rPr>
          <w:rFonts w:ascii="仿宋_GB2312" w:hAnsi="仿宋_GB2312" w:eastAsia="仿宋_GB2312"/>
          <w:b w:val="0"/>
          <w:sz w:val="32"/>
        </w:rPr>
        <w:t>4.社会保障和就业支出(类)行政事业单位养老支出(款)事业单位离退休(项)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支出决算数为8.12万元，比上年决算增加1.99万元，增长32.46%,主要原因是：本年事业退休人员增加，导致退休费较上年增加。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支出决算数为83.24万元，比上年决算增加0.43万元，增长0.52%,主要原因是：本年在职人员工资基数调增，养老缴费基数上涨，相应支出增加。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支出决算数为8.76万元，比上年决算减少21.53万元，下降71.08%,主要原因是：本年新增退休人员与辞职调出人员较上年减少，职业年金缴费较上年减少。</w:t>
      </w:r>
    </w:p>
    <w:p>
      <w:pPr>
        <w:spacing w:line="580" w:lineRule="exact"/>
        <w:ind w:firstLine="640"/>
        <w:jc w:val="both"/>
      </w:pPr>
      <w:r>
        <w:rPr>
          <w:rFonts w:ascii="仿宋_GB2312" w:hAnsi="仿宋_GB2312" w:eastAsia="仿宋_GB2312"/>
          <w:b w:val="0"/>
          <w:sz w:val="32"/>
        </w:rPr>
        <w:t>7.社会保障和就业支出(类)行政事业单位养老支出(款)对机关事业单位职业年金的补助(项)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支出决算数为0.00万元，比上年决算减少26.45万元，下降100.00%,主要原因是：本年科目调整，对机关事业单位职业年金的补助上年在本科目列支，本年调整至机关事业单位职业年金缴费支出列支，导致经费下降。</w:t>
      </w:r>
    </w:p>
    <w:p>
      <w:pPr>
        <w:spacing w:line="580" w:lineRule="exact"/>
        <w:ind w:firstLine="640"/>
        <w:jc w:val="both"/>
      </w:pPr>
      <w:r>
        <w:rPr>
          <w:rFonts w:ascii="仿宋_GB2312" w:hAnsi="仿宋_GB2312" w:eastAsia="仿宋_GB2312"/>
          <w:b w:val="0"/>
          <w:sz w:val="32"/>
        </w:rPr>
        <w:t>8.卫生健康支出(类)行政事业单位医疗(款)行政单位医疗(项)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支出决算数为19.97万元，比上年决算减少1.34万元，下降6.29%,主要原因是：本年在职人员减少，行政单位医疗支出较上年减少。</w:t>
      </w:r>
    </w:p>
    <w:p>
      <w:pPr>
        <w:spacing w:line="580" w:lineRule="exact"/>
        <w:ind w:firstLine="640"/>
        <w:jc w:val="both"/>
        <w:rPr>
          <w:sz w:val="30"/>
          <w:szCs w:val="30"/>
        </w:rPr>
      </w:pPr>
      <w:r>
        <w:rPr>
          <w:rFonts w:ascii="仿宋_GB2312" w:hAnsi="仿宋_GB2312" w:eastAsia="仿宋_GB2312"/>
          <w:b w:val="0"/>
          <w:sz w:val="32"/>
        </w:rPr>
        <w:t>9.卫生健康支出(类)行政事业单位医疗(款)事业单位医疗(项)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支出决算数为11.92万元，比上年决算增加0.52万元，增长4.56%</w:t>
      </w:r>
      <w:r>
        <w:rPr>
          <w:rFonts w:hint="eastAsia" w:ascii="仿宋_GB2312" w:hAnsi="仿宋_GB2312" w:eastAsia="仿宋_GB2312"/>
          <w:b w:val="0"/>
          <w:sz w:val="32"/>
          <w:lang w:eastAsia="zh-CN"/>
        </w:rPr>
        <w:t>，</w:t>
      </w:r>
      <w:r>
        <w:rPr>
          <w:rFonts w:ascii="仿宋_GB2312" w:hAnsi="仿宋_GB2312" w:eastAsia="仿宋_GB2312"/>
          <w:b w:val="0"/>
          <w:sz w:val="32"/>
        </w:rPr>
        <w:t>主要原因是：本</w:t>
      </w:r>
      <w:r>
        <w:rPr>
          <w:rFonts w:ascii="仿宋_GB2312" w:hAnsi="仿宋_GB2312" w:eastAsia="仿宋_GB2312"/>
          <w:b w:val="0"/>
          <w:sz w:val="30"/>
          <w:szCs w:val="30"/>
        </w:rPr>
        <w:t>年在职人员工资基数调增，医疗缴费基数上涨，相应支出增加。</w:t>
      </w:r>
    </w:p>
    <w:p>
      <w:pPr>
        <w:spacing w:line="580" w:lineRule="exact"/>
        <w:ind w:firstLine="640"/>
        <w:jc w:val="both"/>
      </w:pPr>
      <w:r>
        <w:rPr>
          <w:rFonts w:ascii="仿宋_GB2312" w:hAnsi="仿宋_GB2312" w:eastAsia="仿宋_GB2312"/>
          <w:b w:val="0"/>
          <w:sz w:val="32"/>
        </w:rPr>
        <w:t>10.节能环保支出(类)自然生态保护(款)其他自然生态保护支出(项)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支出决算数为0.00万元，比上年决算减少1.20万元，下降100.00%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主要原因是：本年减少新疆阿图什市2021</w:t>
      </w:r>
      <w:r>
        <w:rPr>
          <w:rFonts w:hint="eastAsia" w:ascii="仿宋_GB2312" w:hAnsi="仿宋_GB2312" w:eastAsia="仿宋_GB2312"/>
          <w:b w:val="0"/>
          <w:sz w:val="32"/>
          <w:lang w:val="en-US" w:eastAsia="zh-CN"/>
        </w:rPr>
        <w:t>年</w:t>
      </w:r>
      <w:r>
        <w:rPr>
          <w:rFonts w:ascii="仿宋_GB2312" w:hAnsi="仿宋_GB2312" w:eastAsia="仿宋_GB2312"/>
          <w:b w:val="0"/>
          <w:sz w:val="32"/>
        </w:rPr>
        <w:t>第一批中央财政林业草原生态保护恢复（草原生态治理补助）资金。</w:t>
      </w:r>
    </w:p>
    <w:p>
      <w:pPr>
        <w:spacing w:line="580" w:lineRule="exact"/>
        <w:ind w:firstLine="640"/>
        <w:jc w:val="both"/>
      </w:pPr>
      <w:r>
        <w:rPr>
          <w:rFonts w:ascii="仿宋_GB2312" w:hAnsi="仿宋_GB2312" w:eastAsia="仿宋_GB2312"/>
          <w:b w:val="0"/>
          <w:sz w:val="32"/>
        </w:rPr>
        <w:t>11.节能环保支出(类)退耕还林还草(款)其他退耕还林还草支出(项)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支出决算数为0.00万元，比上年决算减少89.63万元，下降100.00%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主要原因是：本年减少2017-2019新一轮2006完善退耕还林2022不合格面积补植补造补助费。</w:t>
      </w:r>
    </w:p>
    <w:p>
      <w:pPr>
        <w:spacing w:line="580" w:lineRule="exact"/>
        <w:ind w:firstLine="640"/>
        <w:jc w:val="both"/>
      </w:pPr>
      <w:r>
        <w:rPr>
          <w:rFonts w:ascii="仿宋_GB2312" w:hAnsi="仿宋_GB2312" w:eastAsia="仿宋_GB2312"/>
          <w:b w:val="0"/>
          <w:sz w:val="32"/>
        </w:rPr>
        <w:t>12.农林水支出(类)农业农村(款)其他农业农村支出(项)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支出决算数为351.74万元，比上年决算减少3,534.53万元，下降90.95%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主要原因是：本年阿图什市哈拉峻乡城乡建设用地增减挂钩拆旧复垦项目资金较上年减少。</w:t>
      </w:r>
    </w:p>
    <w:p>
      <w:pPr>
        <w:spacing w:line="580" w:lineRule="exact"/>
        <w:ind w:firstLine="640"/>
        <w:jc w:val="both"/>
      </w:pPr>
      <w:r>
        <w:rPr>
          <w:rFonts w:ascii="仿宋_GB2312" w:hAnsi="仿宋_GB2312" w:eastAsia="仿宋_GB2312"/>
          <w:b w:val="0"/>
          <w:sz w:val="32"/>
        </w:rPr>
        <w:t>13.农林水支出(类)林业和草原(款)其他林业和草原支出(项)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支出决算数为205.02万元，比上年决算减少879.55万元，下降81.10%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主要原因是：本年林业智能化管护房建设项目资金较上年减少。</w:t>
      </w:r>
    </w:p>
    <w:p>
      <w:pPr>
        <w:spacing w:line="580" w:lineRule="exact"/>
        <w:ind w:firstLine="640"/>
        <w:jc w:val="both"/>
      </w:pPr>
      <w:r>
        <w:rPr>
          <w:rFonts w:ascii="仿宋_GB2312" w:hAnsi="仿宋_GB2312" w:eastAsia="仿宋_GB2312"/>
          <w:b w:val="0"/>
          <w:sz w:val="32"/>
        </w:rPr>
        <w:t>14.农林水支出(类)巩固脱贫攻坚成果衔接乡村振兴(款)生产发展(项)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支出决算数为0.72万元，比上年决算增加0.72万元，增长100.00%,主要原因是：增加2024年自治区财政衔接推进乡村振兴补助资金。</w:t>
      </w:r>
    </w:p>
    <w:p>
      <w:pPr>
        <w:spacing w:line="580" w:lineRule="exact"/>
        <w:ind w:firstLine="640"/>
        <w:jc w:val="both"/>
      </w:pPr>
      <w:r>
        <w:rPr>
          <w:rFonts w:ascii="仿宋_GB2312" w:hAnsi="仿宋_GB2312" w:eastAsia="仿宋_GB2312"/>
          <w:b w:val="0"/>
          <w:sz w:val="32"/>
        </w:rPr>
        <w:t>15.农林水支出(类)巩固脱贫攻坚成果衔接乡村振兴(款)其他巩固脱贫攻坚成果衔接乡村振兴支出(项)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支出决算数为0.61万元，比上年决算增加0.61万元，增长100.00%,主要原因是：增加阿图什市2024年产业帮扶精准到户项目（护草员）6</w:t>
      </w:r>
      <w:r>
        <w:rPr>
          <w:rFonts w:hint="eastAsia" w:ascii="仿宋_GB2312" w:hAnsi="仿宋_GB2312" w:eastAsia="仿宋_GB2312"/>
          <w:b w:val="0"/>
          <w:sz w:val="32"/>
          <w:lang w:eastAsia="zh-CN"/>
        </w:rPr>
        <w:t>—</w:t>
      </w:r>
      <w:r>
        <w:rPr>
          <w:rFonts w:ascii="仿宋_GB2312" w:hAnsi="仿宋_GB2312" w:eastAsia="仿宋_GB2312"/>
          <w:b w:val="0"/>
          <w:sz w:val="32"/>
        </w:rPr>
        <w:t>9月资金。</w:t>
      </w:r>
    </w:p>
    <w:p>
      <w:pPr>
        <w:spacing w:line="580" w:lineRule="exact"/>
        <w:ind w:firstLine="640"/>
        <w:jc w:val="both"/>
      </w:pPr>
      <w:r>
        <w:rPr>
          <w:rFonts w:ascii="仿宋_GB2312" w:hAnsi="仿宋_GB2312" w:eastAsia="仿宋_GB2312"/>
          <w:b w:val="0"/>
          <w:sz w:val="32"/>
        </w:rPr>
        <w:t>16.农林水支出(类)其他农林水支出(款)其他农林水支出(项)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158.67万元，比上年决算增加158.67万元，增长100.00%,主要原因是：本年增加阿图什市城乡建设用地增减挂钩项目土地设计采购项目（一标段）设计费30%、阿图什市城乡建设用地增减挂钩项目土地设计采购项目（二标段）专业设计服务费。</w:t>
      </w:r>
    </w:p>
    <w:p>
      <w:pPr>
        <w:spacing w:line="580" w:lineRule="exact"/>
        <w:ind w:firstLine="640"/>
        <w:jc w:val="both"/>
      </w:pPr>
      <w:r>
        <w:rPr>
          <w:rFonts w:ascii="仿宋_GB2312" w:hAnsi="仿宋_GB2312" w:eastAsia="仿宋_GB2312"/>
          <w:b w:val="0"/>
          <w:sz w:val="32"/>
        </w:rPr>
        <w:t>17.交通运输支出(类)铁路运输(款)铁路路网建设(项)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支出决算数为6.47万元，比上年决算增加6.46万元，增长64,600.00%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主要原因是：本年增加南疆铁路提升改造项目资金。</w:t>
      </w:r>
    </w:p>
    <w:p>
      <w:pPr>
        <w:spacing w:line="580" w:lineRule="exact"/>
        <w:ind w:firstLine="640"/>
        <w:jc w:val="both"/>
      </w:pPr>
      <w:r>
        <w:rPr>
          <w:rFonts w:ascii="仿宋_GB2312" w:hAnsi="仿宋_GB2312" w:eastAsia="仿宋_GB2312"/>
          <w:b w:val="0"/>
          <w:sz w:val="32"/>
        </w:rPr>
        <w:t>18.自然资源海洋气象等支出(类)自然资源事务(款)行政运行(项)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支出决算数为870.22万元，比上年决算减少636.13万元，下降42.23%,主要原因是：本年较上年减少办公费，咨询费支出。</w:t>
      </w:r>
    </w:p>
    <w:p>
      <w:pPr>
        <w:spacing w:line="580" w:lineRule="exact"/>
        <w:ind w:firstLine="640"/>
        <w:jc w:val="both"/>
      </w:pPr>
      <w:r>
        <w:rPr>
          <w:rFonts w:ascii="仿宋_GB2312" w:hAnsi="仿宋_GB2312" w:eastAsia="仿宋_GB2312"/>
          <w:b w:val="0"/>
          <w:sz w:val="32"/>
        </w:rPr>
        <w:t>19.自然资源海洋气象等支出(类)自然资源事务(款)其他自然资源事务支出(项)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支出决算数为509.82万元，比上年决算减少432.43万元，下降45.89%,主要原因是：本年聘用人员减少，相关人员经费，委托业务费较上年减少。</w:t>
      </w:r>
    </w:p>
    <w:p>
      <w:pPr>
        <w:spacing w:line="580" w:lineRule="exact"/>
        <w:ind w:firstLine="640"/>
        <w:jc w:val="both"/>
      </w:pPr>
      <w:r>
        <w:rPr>
          <w:rFonts w:ascii="仿宋_GB2312" w:hAnsi="仿宋_GB2312" w:eastAsia="仿宋_GB2312"/>
          <w:b w:val="0"/>
          <w:sz w:val="32"/>
        </w:rPr>
        <w:t>20.住房保障支出(类)住房改革支出(款)住房公积金(项)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支出决算数为67.15万元，比上年决算减少3.37万元，下降4.78%,主要原因是：本年在职人员减少，住房公积金缴费较上年减少。</w:t>
      </w:r>
    </w:p>
    <w:p>
      <w:pPr>
        <w:spacing w:line="580" w:lineRule="exact"/>
        <w:ind w:firstLine="640"/>
        <w:jc w:val="both"/>
      </w:pPr>
      <w:r>
        <w:rPr>
          <w:rFonts w:ascii="仿宋_GB2312" w:hAnsi="仿宋_GB2312" w:eastAsia="仿宋_GB2312"/>
          <w:b w:val="0"/>
          <w:sz w:val="32"/>
        </w:rPr>
        <w:t>21.灾害防治及应急管理支出(类)自然灾害防治(款)地质灾害防治(项)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支出决算数为2,790.00万元，比上年决算增加2,635.19万元，增长1,702.21%,主要原因是：本年增加2023年国债重点自然灾害综合防治体系建设工程补助资金。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2024年度一般公共预算财政拨款基本支出1,626.96万元，其中：</w:t>
      </w:r>
      <w:r>
        <w:rPr>
          <w:rFonts w:ascii="仿宋_GB2312" w:hAnsi="仿宋_GB2312" w:eastAsia="仿宋_GB2312"/>
          <w:b/>
          <w:sz w:val="32"/>
        </w:rPr>
        <w:t>人员经费934.27万元，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公用经费692.69万元，</w:t>
      </w:r>
      <w:r>
        <w:rPr>
          <w:rFonts w:ascii="仿宋_GB2312" w:hAnsi="仿宋_GB2312" w:eastAsia="仿宋_GB2312"/>
          <w:b w:val="0"/>
          <w:sz w:val="32"/>
        </w:rPr>
        <w:t>包括：办公费、印刷费、咨询费、水费、电费、邮电费、取暖费、差旅费、维修（护）费、专用燃料费、委托业务费、公务用车运行维护费、其他交通费用、税金及附加费用、其他商品和服务支出。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2024年度政府性基金预算财政拨款收入总计6,329.70万元，</w:t>
      </w:r>
      <w:r>
        <w:rPr>
          <w:rFonts w:ascii="仿宋_GB2312" w:hAnsi="仿宋_GB2312" w:eastAsia="仿宋_GB2312"/>
          <w:b w:val="0"/>
          <w:sz w:val="32"/>
        </w:rPr>
        <w:t>其中：年初结转和结余0.00万元，本年收入6,329.70万元。</w:t>
      </w:r>
      <w:r>
        <w:rPr>
          <w:rFonts w:ascii="仿宋_GB2312" w:hAnsi="仿宋_GB2312" w:eastAsia="仿宋_GB2312"/>
          <w:b/>
          <w:sz w:val="32"/>
        </w:rPr>
        <w:t>政府性基金预算财政拨款支出总计6,329.70万元，</w:t>
      </w:r>
      <w:r>
        <w:rPr>
          <w:rFonts w:ascii="仿宋_GB2312" w:hAnsi="仿宋_GB2312" w:eastAsia="仿宋_GB2312"/>
          <w:b w:val="0"/>
          <w:sz w:val="32"/>
        </w:rPr>
        <w:t>其中：年末结转和结余0.00万元，本年支出6,329.70万元。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增加905.04万元，增长16.68%，主要原因是：本年增加阿图什市危旧房屋和棚户区拆除改造项目资金。</w:t>
      </w:r>
      <w:r>
        <w:rPr>
          <w:rFonts w:ascii="仿宋_GB2312" w:hAnsi="仿宋_GB2312" w:eastAsia="仿宋_GB2312"/>
          <w:b/>
          <w:sz w:val="32"/>
        </w:rPr>
        <w:t>与年初预算相比，</w:t>
      </w:r>
      <w:r>
        <w:rPr>
          <w:rFonts w:ascii="仿宋_GB2312" w:hAnsi="仿宋_GB2312" w:eastAsia="仿宋_GB2312"/>
          <w:b w:val="0"/>
          <w:sz w:val="32"/>
        </w:rPr>
        <w:t>年初预算数20,000.00万元，决算数6,329.70万元，预决算差异率-68.35%，主要原因是：年中调减阿图什市危旧房屋和棚户区拆除改造项目资金，导致预决算存在差异。</w:t>
      </w:r>
    </w:p>
    <w:p>
      <w:pPr>
        <w:spacing w:line="580" w:lineRule="exact"/>
        <w:ind w:firstLine="640"/>
        <w:jc w:val="both"/>
      </w:pPr>
      <w:r>
        <w:rPr>
          <w:rFonts w:ascii="仿宋_GB2312" w:hAnsi="仿宋_GB2312" w:eastAsia="仿宋_GB2312"/>
          <w:b w:val="0"/>
          <w:sz w:val="32"/>
        </w:rPr>
        <w:t>政府性基金预算财政拨款支出6,329.70万元。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支出决算数为4,529.70万元，比上年决算减少894.96万元，下降16.50%,主要原因是：本年减少补偿款。</w:t>
      </w:r>
    </w:p>
    <w:p>
      <w:pPr>
        <w:spacing w:line="580" w:lineRule="exact"/>
        <w:ind w:firstLine="640"/>
        <w:jc w:val="both"/>
      </w:pPr>
      <w:r>
        <w:rPr>
          <w:rFonts w:ascii="仿宋_GB2312" w:hAnsi="仿宋_GB2312" w:eastAsia="仿宋_GB2312"/>
          <w:b w:val="0"/>
          <w:sz w:val="32"/>
        </w:rPr>
        <w:t>2.城乡社区支出(类)国有土地使用权出让收入安排的支出(款)其他国有土地使用权出让收入安排的支出(项)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支出决算数为1,800.00万元，比上年决算增加1,800.00万元，增长100.00%,主要原因是：本年增加阿图什市危旧房屋和棚户区拆除改造项目资金。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2024年度财政拨款“三公”经费支出4.90万元，</w:t>
      </w:r>
      <w:r>
        <w:rPr>
          <w:rFonts w:ascii="仿宋_GB2312" w:hAnsi="仿宋_GB2312" w:eastAsia="仿宋_GB2312"/>
          <w:b w:val="0"/>
          <w:sz w:val="32"/>
        </w:rPr>
        <w:t>比上年减少12.95万元，下降72.55%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4.90万元，占100.00%，比上年减少12.95万元，下降72.55%，主要原因是：严格落实中央八项规定精神，厉行节约，减少公务用车运行维护费。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4.90万元，其中：公务用车购置费0.00万元，公务用车运行维护费4.90万元。公务用车运行维护费开支内容包括油料费、车辆维修费、过路费。公务用车购置数0辆，公务用车保有量20辆。国有资产占用情况中固定资产车辆20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4.90万元，决算数4.90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4.90万元，决算数4.90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2024年度阿图什市自然资源局（行政单位和参照公务员法管理事业单位）机关运行经费支出692.69万元，比上年减少1,011.81万元，下降59.36%，主要原因是：本年减少办公费，印刷费，咨询费支出。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2024年度政府采购支出总额6,048.31万元，其中：政府采购货物支出129.88万元、政府采购工程支出48.94万元、政府采购服务支出5,869.49万元。</w:t>
      </w:r>
    </w:p>
    <w:p>
      <w:pPr>
        <w:spacing w:line="580" w:lineRule="exact"/>
        <w:ind w:firstLine="640"/>
        <w:jc w:val="both"/>
      </w:pPr>
      <w:r>
        <w:rPr>
          <w:rFonts w:ascii="仿宋_GB2312" w:hAnsi="仿宋_GB2312" w:eastAsia="仿宋_GB2312"/>
          <w:b w:val="0"/>
          <w:sz w:val="32"/>
        </w:rPr>
        <w:t>授予中小企业合同金额5,836.67万元，占政府采购支出总额的96.50%，其中：授予小微企业合同金额705.40万元，占政府采购支出总额的11.66%。</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6,035.75平方米，价值268.22万元。车辆20辆，价值220.11万元，其中：副部（省）级及以上领导用车0辆、主要负责人用车0辆、机要通信用车0辆、应急保障用车0辆、执法执勤用车0辆、特种专业技术用车0辆、离退休干部服务用车0辆、其他用车20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11,532.79万元，实际执行总额11,532.79万元；预算绩效评价项目10个，全年预算数1,033.56万元，全年执行数396.30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7,966.42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11,532.79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11,532.79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3,524.18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3,524.18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7,966.42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8,008.61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8,008.61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履行全民所有土地、矿产、森林、草原、湿地、水资源等自然资源资产所有者职责和所有国土空间用途管制职责。贯彻执行自然资源和国土空间规划及测绘等法律法规，组织拟定阿图什市自然资源发展规划战略和林业发展战略。</w:t>
            </w:r>
            <w:r>
              <w:rPr>
                <w:rFonts w:ascii="宋体" w:hAnsi="宋体" w:eastAsia="宋体"/>
                <w:sz w:val="16"/>
              </w:rPr>
              <w:br w:type="textWrapping"/>
            </w:r>
            <w:r>
              <w:rPr>
                <w:rFonts w:ascii="宋体" w:hAnsi="宋体" w:eastAsia="宋体"/>
                <w:sz w:val="16"/>
              </w:rPr>
              <w:t>机构设置及人员配置：无下属预算单位，下设3个处室，编制66，实有人数91人，在职50人，退休41人。</w:t>
            </w:r>
            <w:r>
              <w:rPr>
                <w:rFonts w:ascii="宋体" w:hAnsi="宋体" w:eastAsia="宋体"/>
                <w:sz w:val="16"/>
              </w:rPr>
              <w:br w:type="textWrapping"/>
            </w:r>
            <w:r>
              <w:rPr>
                <w:rFonts w:ascii="宋体" w:hAnsi="宋体" w:eastAsia="宋体"/>
                <w:sz w:val="16"/>
              </w:rPr>
              <w:t>中长期规划：组织开展全市森林资源、陆生野生动植物资源、湿地和荒漠的调查、动态监测和评估，并统一发布相关信息。</w:t>
            </w:r>
            <w:r>
              <w:rPr>
                <w:rFonts w:ascii="宋体" w:hAnsi="宋体" w:eastAsia="宋体"/>
                <w:sz w:val="16"/>
              </w:rPr>
              <w:br w:type="textWrapping"/>
            </w:r>
            <w:r>
              <w:rPr>
                <w:rFonts w:ascii="宋体" w:hAnsi="宋体" w:eastAsia="宋体"/>
                <w:sz w:val="16"/>
              </w:rPr>
              <w:t>保障单位在职50人，退休41人各项工资福利补贴正常发放及部门正常运转；保障13个部门预算项目按计划实施，聘用人员工资按时发放；强化监管力度，充分发挥市场对资源配置的决定性作用，更好发挥单位作用，强化自然资源管理规则、标准、制度的约束性作用，推进自然资源确权登记和评估的便民高效。</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11532.79万元，用于保障部门在职50人，退休41人的工资福利、各项补助正常发放及部门单位正常运转，单位预算项目根据年初计划均已完成，强化监管力度，充分发挥市场对资源配置的决定性作用，更好发挥单位作用，强化自然资源管理规则、标准、制度的约束性作用，推进自然资源确权登记和评估的便民高效，年度任务中完成特色林果业示范点45个，重点管理特色林果业示范点面积9200亩，矿产资源监督执法人员16人，草原管护员人数7人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特色林果业示范点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重点管理特色林果业示范点面积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&gt;=9200亩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矿产资源监督执法人员</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草原管护员人数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提升土地资源统筹能力和水资源利用率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2024年不动产业务系统维护工作经费项目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国务院关于加快推进“互联网+政务服务”工作的指导意见》《国务院办公厅关于压缩不动产登记办理时间的通知》，安排项目资金100万元，主要用于平台日常运维及数据维护、不动产三网融合平台维护1年、购买不动产权证书、电子签章1批；通过项目的实施确保不动产工作安全、高效率、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 本项目共计支出10万元，用于平台日常运维及数据维护、不动产三网融合平台维护1年、购买不动产权证书、电子签章1批；通过项目的实施确保不动产工作安全、高效率、有序开展。 </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平台日常运维及数据维护期限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不动产三网融合平台维护期限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购买不动产权证书、电子签章数量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系统维护合格率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原因：支出材料不全，根据实际提供的发票及合同进行拨付，剩余资金待申请；措施：今后做好预算支出工作，提高预算执行率，减少偏差。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平台日常运维及数据维护成本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原因：支出材料不全，根据实际提供的发票及合同进行拨付，剩余资金待申请；措施：今后做好预算支出工作，提高预算执行率，减少偏差。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不动产三网融合平台维护成本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原因：支出材料不全资金未能申请，因此指标未完成；措施：今后做好预算支出工作，提高预算执行率，减少偏差。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购买不动产权证书、电子签章成本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原因：支出材料不全资金未能申请，因此指标未完成；措施：今后做好预算支出工作，提高预算执行率，减少偏差。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确保不动产工作安全、高效率完成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2024年办公设备采购、维护及化解历史遗留债务项目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94.70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94.70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自然资源局会议纪要》，安排项目资金126万元，主要用于办公场所运转期限12个月，车辆运行期限12个月，化解项目前期服务费数量4项；通过项目的实施，进一步补齐自然资源工作短板，提升自然资源工作质量，达到为规范自然资源工作，切实保障自然资源工作高效运行。</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94.7万元，用于办公场所运转期限12个月，车辆运行期限12个月，化解项目前期服务费数量4项；通过实施本项目进一步补齐自然资源工作短板，提升自然资源工作质量，达到为规范自然资源工作，切实保障自然资源工作高效运行。</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办公场所运转期限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车辆运行期限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化解项目前期服务费数量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办公场所运转期限成本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原因：部分支出资料不齐全，因此资金未拨付完毕；措施：今后做好项目计划，加快资金支付进度，减少偏差。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车辆运行成本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原因：部分支出资料不齐全，因此资金未拨付完毕；措施：今后做好项目计划，加快资金支付进度，减少偏差。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化解项目前期服务费成本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原因：部分支出资料不齐全，因此资金未拨付完毕；措施：今后做好项目计划，加快资金支付进度，减少偏差。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其他业务成本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原因：部分支出资料不齐全，因此资金未拨付完毕；措施：今后做好项目计划，加快资金支付进度，减少偏差。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为城镇发展提供方便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79.93分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152"/>
        <w:gridCol w:w="480"/>
        <w:gridCol w:w="129"/>
        <w:gridCol w:w="503"/>
        <w:gridCol w:w="125"/>
        <w:gridCol w:w="507"/>
        <w:gridCol w:w="184"/>
        <w:gridCol w:w="448"/>
        <w:gridCol w:w="632"/>
        <w:gridCol w:w="632"/>
        <w:gridCol w:w="696"/>
        <w:gridCol w:w="632"/>
        <w:gridCol w:w="114"/>
        <w:gridCol w:w="518"/>
        <w:gridCol w:w="632"/>
      </w:tblGrid>
      <w:tr>
        <w:tblPrEx>
          <w:tblCellMar>
            <w:top w:w="0" w:type="dxa"/>
            <w:left w:w="108" w:type="dxa"/>
            <w:bottom w:w="0" w:type="dxa"/>
            <w:right w:w="108" w:type="dxa"/>
          </w:tblCellMar>
        </w:tblPrEx>
        <w:tc>
          <w:tcPr>
            <w:tcW w:w="8912" w:type="dxa"/>
            <w:gridSpan w:val="19"/>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12" w:type="dxa"/>
            <w:gridSpan w:val="1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2024年土地卫片图斑核查、数据填报技术服务项目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109.50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6.05分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109.50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自然资源部办公厅关于开展2022年度全国国土变更调查工作的通知》（自然资办发〔2022〕49号），安排项目资金130万元，主要用于建设数据库1套，文本图纸3套；通过项目的实施，减少基层重复性工作，解决工作质量低、图斑判定难等问题。</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本项目共计支出109.5万元，用于建设数据库1套，文本图纸3套；通过项目的实施，减少基层重复性工作，解决工作质量低、图斑判定难等问题。</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建设数据库</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=1套</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文本图纸</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&gt;=3套</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合理评定城区土地等级及基准地价</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质量提升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4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=84.2%</w:t>
            </w:r>
          </w:p>
        </w:tc>
        <w:tc>
          <w:tcPr>
            <w:tcW w:w="7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4.24</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原因：支出手续不齐全，剩余资金未支付，因此项目预算执行率偏低；措施：今后做好支出工作，及时收集支出资料，提高预算执行率，减少偏差。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数据库建设合格率</w:t>
            </w:r>
          </w:p>
        </w:tc>
        <w:tc>
          <w:tcPr>
            <w:tcW w:w="6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4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4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7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建设数据库成本</w:t>
            </w:r>
          </w:p>
        </w:tc>
        <w:tc>
          <w:tcPr>
            <w:tcW w:w="6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&gt;=100万元</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4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=100万元</w:t>
            </w:r>
          </w:p>
        </w:tc>
        <w:tc>
          <w:tcPr>
            <w:tcW w:w="7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文本图纸成本</w:t>
            </w:r>
          </w:p>
        </w:tc>
        <w:tc>
          <w:tcPr>
            <w:tcW w:w="6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&lt;=30万元</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4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=9.5万元</w:t>
            </w:r>
          </w:p>
        </w:tc>
        <w:tc>
          <w:tcPr>
            <w:tcW w:w="7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原因：支出手续不齐全，剩余资金未支付，因此项目预算执行率偏低；措施：今后做好支出工作，及时收集支出资料，提高预算执行率，减少偏差。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提高工作效率和质量</w:t>
            </w:r>
          </w:p>
        </w:tc>
        <w:tc>
          <w:tcPr>
            <w:tcW w:w="6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4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7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工作人员满意度</w:t>
            </w:r>
          </w:p>
        </w:tc>
        <w:tc>
          <w:tcPr>
            <w:tcW w:w="6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4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7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608"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7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83.29分</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2024年塔合提云片区城市设计项目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65.30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0.12分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65.30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自然资源部关于加强国土空间详细规划工作的通知》（自然资发〔2023〕43号），安排项目资金108万元，主要用于聘请第三方服务公司1家，地块用途和开发建设项目1个；通过项目的实施，促进城乡高质量发展，引导优化城乡空间结构、完善功能配置、提升空间品质、激发发展活力。</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本项目共计支出65.3万元，用于聘请第三方服务公司1家，地块用途和开发建设项目1个；通过项目的实施，促进城乡高质量发展，引导优化城乡空间结构、完善功能配置、提升空间品质、激发发展活力。</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聘请第三方服务公司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地块用途和开发建设项目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原因：支出手续不齐全，剩余资金未支付，因此项目预算执行率偏低，预算执行进度未达预期目标；措施：今后做好项目计划，减少偏差。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设计方案合格率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设计工作完成及时率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促进城乡高质量发展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被服务单位满意度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82.22分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2024年安保人员工资项目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项目资金10.8万元，用于聘用安保人员2人，一年工资10.8万元；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 本项目共计支出10.8万元，用于聘用安保人员2人，一年工资10.8万元；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聘用保安人员数量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聘用人员工资发放期限</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工资发放覆盖率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聘用保安人员工资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&lt;=4500元/人/月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提高单位安全保障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保安人员满意度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2024年市级、乡级河流权籍调查勘界项目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根据《关于申请解决阿图什市市级、乡级河流权籍调查勘界工作预算资金的报告》（阿自然资字</w:t>
            </w:r>
            <w:r>
              <w:rPr>
                <w:rFonts w:hint="eastAsia" w:ascii="宋体" w:hAnsi="宋体"/>
                <w:sz w:val="16"/>
                <w:lang w:eastAsia="zh-CN"/>
              </w:rPr>
              <w:t>〔2022〕121号</w:t>
            </w:r>
            <w:r>
              <w:rPr>
                <w:rFonts w:ascii="宋体" w:hAnsi="宋体" w:eastAsia="宋体"/>
                <w:sz w:val="16"/>
              </w:rPr>
              <w:t>），安排项目资金460万元，主要用于聘请第三方服务公司1家，涉及建设项目1个；通过项目的实施，解决河湖管护突出问题，着力构建归属清晰、权责明确、监管有效的水利产权制度；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本项目共计支出45.74万元，用于聘请第三方服务公司1家，涉及建设项目1个；通过项目的实施，解决河湖管护突出问题，着力构建归属清晰、权责明确、监管有效的水利产权制度；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聘请第三方服务公司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涉及建设项目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第三方工作质量达标率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原因：支出手续不齐全，剩余资金未支付，因此项目预算执行率偏低，预算执行进度未达预期目标；措施：今后做好项目计划，加快资金执行进度，减少偏差。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解决河湖管护突出问题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992"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92"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2024年拆迁办办公经费项目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阿图什市自然资源局重点项目资金纳入财政预算的请示》（阿自然资字〔2020〕247号）文件，安排项目资金36万元，主要用于购买办公设备3批，购买执法记录仪1批，印刷宣传资料1批、保障单位日常运转期限12个月；通过项目的实施，加强设施农业用地监管、保障用地规范有序和设施农业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本项目共计支出6.61万元，用于保障单位日常运转期限12个月；通过项目的实施，加强设施农业用地监管、保障用地规范有序和设施农业健康发展。</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购买办公设备数量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原因：因申请未批准，未购买，指标未完成；措施：今后做好计划，确保如期完成项目任务，减少偏差。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购买执法记录仪数量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原因：因申请未批准，未购买，指标未完成；措施：今后做好计划，确保如期完成项目任务，减少偏差。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印刷宣传资料数量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原因：因申请未批准，未购买，指标未完成；措施：今后做好计划，确保如期完成项目任务，减少偏差。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购买设备验收合格率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原因：因申请未批准，未购买，指标未完成；措施：今后做好计划，确保如期完成项目任务，减少偏差。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购买办公设备成本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原因：因申请未批准，未购买，指标未完成；措施：今后做好计划，确保如期完成项目任务，减少偏差。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购买执法记录仪成本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原因：因申请未批准，未购买，指标未完成；措施：今后做好计划，确保如期完成项目任务，减少偏差。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印刷宣传资料成本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原因：因申请未批准，未购买，指标未完成；措施：今后做好计划，确保如期完成项目任务，减少偏差。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原因：根据实际提供的支出资料进行拨付，其余资金资料不全未拨付；措施：今后做好预算支出管理，提高预算执行率，减少偏差。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加强设施农业用地监管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2024年法律顾问项目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根据《自然资源局会议纪要》，安排项目资金10万元，主要用于采购专业技术服务1套；通过项目的实施，进一步依法保护群众合法权益，认真履行代理职责，切实保障权益。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本项目共计支出8万元，用于采购专业技术服务1套；通过项目的实施，进一步依法保护群众合法权益，认真履行代理职责，切实保障权益。</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采购专业技术服务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法律服务胜诉率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提高依法执行水平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法律顾问满意度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32"/>
        <w:gridCol w:w="143"/>
        <w:gridCol w:w="553"/>
        <w:gridCol w:w="632"/>
        <w:gridCol w:w="632"/>
        <w:gridCol w:w="632"/>
        <w:gridCol w:w="632"/>
        <w:gridCol w:w="632"/>
        <w:gridCol w:w="696"/>
        <w:gridCol w:w="428"/>
        <w:gridCol w:w="204"/>
        <w:gridCol w:w="632"/>
        <w:gridCol w:w="632"/>
      </w:tblGrid>
      <w:tr>
        <w:tblPrEx>
          <w:tblCellMar>
            <w:top w:w="0" w:type="dxa"/>
            <w:left w:w="108" w:type="dxa"/>
            <w:bottom w:w="0" w:type="dxa"/>
            <w:right w:w="108" w:type="dxa"/>
          </w:tblCellMar>
        </w:tblPrEx>
        <w:tc>
          <w:tcPr>
            <w:tcW w:w="8976" w:type="dxa"/>
            <w:gridSpan w:val="16"/>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76" w:type="dxa"/>
            <w:gridSpan w:val="16"/>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344"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2024年自收自支人员工资项目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38.82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38.82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45.76万元，其中：财政资金45.76万元，开展项目自收自支人员4人一年工资42万元、冬碳费4人一年0.56元，4人一年绩效工资3.2万元，紧紧围绕“群众为先，服务至上”的为民服务宗旨，深化“放管服”改革，推动“互联网+不动产登记”工作的效果。</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本项目共计支出38.82万元，用于发放自收自支4个人的工资及社保费用、冬碳费、绩效工资，紧紧围绕“群众为先，服务至上”的为民服务宗旨，深化“放管服”改革，推动“互联网+不动产登记”工作的效果。</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开展项目自收自支人员</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自收自支人员工资发放期限</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工资发放覆盖率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=84.8%</w:t>
            </w:r>
          </w:p>
        </w:tc>
        <w:tc>
          <w:tcPr>
            <w:tcW w:w="4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4.96</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原因：社保有调整因此指标完成率存在偏差；措施：今后做好计划，提高数据精准度，减少偏差。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4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工资和社保费用</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=38.82万元</w:t>
            </w:r>
          </w:p>
        </w:tc>
        <w:tc>
          <w:tcPr>
            <w:tcW w:w="4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5.67</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原因：社保有调整因此指标完成率存在偏差；措施：今后做好计划，提高数据精准度，减少偏差。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冬碳费用</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4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原因：根据实际情况进行支出，因此部分资金</w:t>
            </w:r>
            <w:r>
              <w:rPr>
                <w:rFonts w:hint="eastAsia" w:ascii="宋体" w:hAnsi="宋体"/>
                <w:sz w:val="16"/>
                <w:lang w:eastAsia="zh-CN"/>
              </w:rPr>
              <w:t>未</w:t>
            </w:r>
            <w:r>
              <w:rPr>
                <w:rFonts w:ascii="宋体" w:hAnsi="宋体" w:eastAsia="宋体"/>
                <w:sz w:val="16"/>
              </w:rPr>
              <w:t>支出；措施：今后做好项目计划，加快支付进度，减少偏差。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绩效工资成本</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4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原因：根据实际情况进行支出，因此部分资金</w:t>
            </w:r>
            <w:r>
              <w:rPr>
                <w:rFonts w:hint="eastAsia" w:ascii="宋体" w:hAnsi="宋体"/>
                <w:sz w:val="16"/>
                <w:lang w:eastAsia="zh-CN"/>
              </w:rPr>
              <w:t>未</w:t>
            </w:r>
            <w:r>
              <w:rPr>
                <w:rFonts w:ascii="宋体" w:hAnsi="宋体" w:eastAsia="宋体"/>
                <w:sz w:val="16"/>
              </w:rPr>
              <w:t>支出；措施：今后做好项目计划，加快支付进度，减少偏差。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提高办证工作效率</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4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聘用人员满意度</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4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4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78.83分</w:t>
            </w:r>
          </w:p>
        </w:tc>
        <w:tc>
          <w:tcPr>
            <w:tcW w:w="1468" w:type="dxa"/>
            <w:gridSpan w:val="3"/>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2024年草原管护人员工资项目</w:t>
            </w:r>
          </w:p>
        </w:tc>
      </w:tr>
      <w:t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阿图什市自然资源局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6.83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6.83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阿图什市自然资源局重点项目资金纳入财政预算的请示》，安排项目资金7万元，2024年计划聘用草原管护人员7人，同时保障及时发放7名管护人员工资，通过聘用草原管护人员，协助草原监督管理人员对农牧民履行</w:t>
            </w:r>
            <w:r>
              <w:rPr>
                <w:rFonts w:hint="eastAsia" w:ascii="宋体" w:hAnsi="宋体"/>
                <w:sz w:val="16"/>
                <w:lang w:eastAsia="zh-CN"/>
              </w:rPr>
              <w:t>草畜平衡</w:t>
            </w:r>
            <w:r>
              <w:rPr>
                <w:rFonts w:ascii="宋体" w:hAnsi="宋体" w:eastAsia="宋体"/>
                <w:sz w:val="16"/>
              </w:rPr>
              <w:t>进行监督，对禁牧区和休牧区的草原进行管理，持续保护草原资源及生态环境。</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本项目共计支出6.83万元，聘用草原管护人员7人，保障及时发放7名管护人员工资；通过聘用草原管护人员，协助草原监督管理人员对农牧民履行</w:t>
            </w:r>
            <w:r>
              <w:rPr>
                <w:rFonts w:hint="eastAsia" w:ascii="宋体" w:hAnsi="宋体"/>
                <w:sz w:val="16"/>
                <w:lang w:eastAsia="zh-CN"/>
              </w:rPr>
              <w:t>草畜平衡</w:t>
            </w:r>
            <w:r>
              <w:rPr>
                <w:rFonts w:ascii="宋体" w:hAnsi="宋体" w:eastAsia="宋体"/>
                <w:sz w:val="16"/>
              </w:rPr>
              <w:t>进行监督，对禁牧区和休牧区的草原进行管理，持续保护草原资源及生态环境。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聘用管护人员数量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管护人员工资发放期限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原因：中途存在人员调整情况，因此剩余资金未支出，已退回国库；措施：今后做好项目管理工作，减少偏差，提高预算执行率。</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聘用人员工资发放标准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原因：中途存在人员调整情况，因此剩余资金未支出，已退回国库；措施：今后做好项目管理工作，减少偏差，提高预算执行率。</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提高草原资源管护能力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97.72分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bookmarkStart w:id="0" w:name="_GoBack"/>
      <w:bookmarkEnd w:id="0"/>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E55542"/>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E0FCE"/>
    <w:rsid w:val="313F1D52"/>
    <w:rsid w:val="318029AB"/>
    <w:rsid w:val="31C63837"/>
    <w:rsid w:val="326F0A17"/>
    <w:rsid w:val="3277581B"/>
    <w:rsid w:val="37362152"/>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D961EB"/>
    <w:rsid w:val="4F3F074E"/>
    <w:rsid w:val="50DB5F45"/>
    <w:rsid w:val="52F92565"/>
    <w:rsid w:val="543D17CB"/>
    <w:rsid w:val="55DA564E"/>
    <w:rsid w:val="56E07045"/>
    <w:rsid w:val="583059FA"/>
    <w:rsid w:val="587E6212"/>
    <w:rsid w:val="5AFC6609"/>
    <w:rsid w:val="5D0771BB"/>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7640</Words>
  <Characters>8844</Characters>
  <Lines>0</Lines>
  <Paragraphs>0</Paragraphs>
  <TotalTime>106</TotalTime>
  <ScaleCrop>false</ScaleCrop>
  <LinksUpToDate>false</LinksUpToDate>
  <CharactersWithSpaces>8852</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2025-09-30T12:35:34Z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