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2024年培训运行费项目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项目名称：2024年培训运行费项目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项目单位：中共阿图什市委员会党校</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主管部门：中共阿图什市委员会党校</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2024年培训运行费项目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bookmarkStart w:id="0" w:name="_GoBack"/>
      <w:bookmarkEnd w:id="0"/>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根据2024年党校预算会议纪要，保障2024年全年培训工作任务及全年的会议保障，阿图什市委党校在市委、市政府的正确领导下，以习近平新时代中国特色社会主义思想和党的二十大精神为指导，坚决贯彻落实党中央确定的治疆方略和长治久安总目标，始终坚持“党校姓党”的办学方针，严格落实《中国共产党党校工作条例》《干部教育培训工作条例》《中共中央关于加强和改进新形势下党校工作的意见》，紧紧围绕市委、市政府中心工作，充分发挥审判职能作用，进一步加大干部培训、轮训规模和力度，为阿图什市社会经济发展提供了人才支持和智力支持。</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资金350万元，用于开展培训次数30次，采购办公用品及书本批次30批培训费用于伙食费250万、培训费办公用品及书本费50万、其他保障培训班的费用50万。充分发挥审判职能作用，进一步加大干部培训、轮训规模和力度，为阿图什市社会经济发展提供了人才支持和智力支持。</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中共阿图什市委员会党校,实施单位为中共阿图什市委员会党校，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350</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105.68</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30.2</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培训费用于伙食费</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5.68万元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培训费办公用品及书本费</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50万元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其他保障培训班的费用</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50万元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项目资金350万元，用于开展培训次数30次，采购办公用品及书本批次30批培训费用于伙食费250万、培训费办公用品及书本费50万、其他保障培训班的费用50万。充分发挥审判职能作用，进一步加大干部培训、轮训规模和力度，为阿图什市社会经济发展提供了人才支持和智力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2024年培训运行费项目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2024年培训运行费项目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2024年培训运行费项目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2024年培训运行费项目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2024年培训运行费项目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3"/>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7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3"/>
        <w:gridCol w:w="1872"/>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3073"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72"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780"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073"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迪丽努尔·吐尔洪</w:t>
            </w:r>
          </w:p>
        </w:tc>
        <w:tc>
          <w:tcPr>
            <w:tcW w:w="1872"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780"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073"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阿提拉克孜·买海提</w:t>
            </w:r>
          </w:p>
        </w:tc>
        <w:tc>
          <w:tcPr>
            <w:tcW w:w="1872"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780"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073"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韩娟</w:t>
            </w:r>
          </w:p>
        </w:tc>
        <w:tc>
          <w:tcPr>
            <w:tcW w:w="1872"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780"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培训运行费项目的内容和特征制定了评价指标体系及评价标准以及评价实施方案，修正并确定所需资料清单，最终确定实施方案。</w:t>
      </w:r>
    </w:p>
    <w:p>
      <w:pPr>
        <w:pStyle w:val="27"/>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7"/>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7"/>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7"/>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7"/>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7"/>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组织管理、产出与效益效果。在此基础上，以相关的项目数据为基础，综合运用不同的评价方法，结合评价标准和评分规则，2024年培训运行费项目综合得分为94.18分，</w:t>
      </w:r>
      <w:r>
        <w:rPr>
          <w:rFonts w:hint="eastAsia" w:ascii="仿宋_GB2312" w:hAnsi="Cambria" w:eastAsia="仿宋_GB2312"/>
          <w:color w:val="auto"/>
          <w:sz w:val="32"/>
          <w:szCs w:val="32"/>
          <w:highlight w:val="none"/>
        </w:rPr>
        <w:t>评价结果为优。</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2024年培训运行费项目评价得分情况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1"/>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13.51</w:t>
            </w:r>
          </w:p>
        </w:tc>
        <w:tc>
          <w:tcPr>
            <w:tcW w:w="3866" w:type="dxa"/>
            <w:tcBorders>
              <w:top w:val="single" w:color="auto" w:sz="4" w:space="0"/>
              <w:left w:val="single" w:color="auto" w:sz="4" w:space="0"/>
              <w:right w:val="single" w:color="auto" w:sz="4" w:space="0"/>
            </w:tcBorders>
            <w:shd w:val="clear" w:color="auto" w:fill="FFFFFF"/>
            <w:vAlign w:val="bottom"/>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预算执行率扣3.49分</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27.67</w:t>
            </w:r>
          </w:p>
        </w:tc>
        <w:tc>
          <w:tcPr>
            <w:tcW w:w="3866" w:type="dxa"/>
            <w:tcBorders>
              <w:top w:val="single" w:color="auto" w:sz="4" w:space="0"/>
              <w:left w:val="single" w:color="auto" w:sz="4" w:space="0"/>
              <w:righ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成本指标扣2.33分</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94.18</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2024年培训运行费项目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年已完成开展培训次数30次</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采购办公用品及书本批次</w:t>
      </w:r>
      <w:r>
        <w:rPr>
          <w:rFonts w:hint="eastAsia" w:ascii="仿宋_GB2312" w:hAnsi="仿宋_GB2312" w:cs="仿宋_GB2312"/>
          <w:color w:val="auto"/>
          <w:sz w:val="32"/>
          <w:szCs w:val="32"/>
          <w:highlight w:val="none"/>
        </w:rPr>
        <w:tab/>
      </w:r>
      <w:r>
        <w:rPr>
          <w:rFonts w:hint="eastAsia" w:ascii="仿宋_GB2312" w:hAnsi="仿宋_GB2312" w:cs="仿宋_GB2312"/>
          <w:color w:val="auto"/>
          <w:sz w:val="32"/>
          <w:szCs w:val="32"/>
          <w:highlight w:val="none"/>
        </w:rPr>
        <w:t>30批等工作；通过该项目的实施充分发挥审判职能作用，进一步加大干部培训、轮训规模和力度，为阿图什市社会经济发展提供了人才支持和智力支持。</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2024年培训运行费项目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105.68</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94.18</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培训运行费项目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2024年培训运行费项目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2024年培训运行费项目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2024年培训运行</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2024年培训运行费项目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数量指标为开展培训次数，预期指标值是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30次，实际完成值是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30次，指标达到预期目标。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数量指标为采购办公用品及书本批次，预期指标值是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30批，实际完成值是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30批，指标达到预期目标。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质量指标为培训合格率，预期指标值是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成本指标为培训费用于伙食费，预期指标值是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250万元，实际完成值是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5.68万元，指标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达到预期目标。原因：第三方机构未及时提供支出资料，未能按时支出；措施：及时催收支出资料，加快项目支出进度，减少偏差。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成本指标为培训费办公用品及书本费，预期指标值是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50万元，指标达到预期目标。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成本指标为其他保障培训班的费用，预期指标值是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50万元，指标达到预期目标。</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指标为保障培训工作正常进行，预期指标值是有效保障，实际完成值是有效保障，指标达到预期目标。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满意度指标为培训人员满意度，预期指标值是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3"/>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350</w:t>
      </w:r>
      <w:r>
        <w:rPr>
          <w:rFonts w:hint="eastAsia"/>
          <w:color w:val="auto"/>
          <w:sz w:val="32"/>
          <w:highlight w:val="none"/>
        </w:rPr>
        <w:t>万元，执行数</w:t>
      </w:r>
      <w:r>
        <w:rPr>
          <w:rFonts w:hint="eastAsia"/>
          <w:color w:val="auto"/>
          <w:sz w:val="32"/>
          <w:highlight w:val="none"/>
          <w:lang w:val="en-US" w:eastAsia="zh-CN"/>
        </w:rPr>
        <w:t>105.68</w:t>
      </w:r>
      <w:r>
        <w:rPr>
          <w:rFonts w:hint="eastAsia"/>
          <w:color w:val="auto"/>
          <w:sz w:val="32"/>
          <w:highlight w:val="none"/>
        </w:rPr>
        <w:t>万元，执行率</w:t>
      </w:r>
      <w:r>
        <w:rPr>
          <w:rFonts w:hint="eastAsia"/>
          <w:color w:val="auto"/>
          <w:sz w:val="32"/>
          <w:highlight w:val="none"/>
          <w:lang w:val="en-US" w:eastAsia="zh-CN"/>
        </w:rPr>
        <w:t>30.2</w:t>
      </w:r>
      <w:r>
        <w:rPr>
          <w:rFonts w:hint="eastAsia"/>
          <w:color w:val="auto"/>
          <w:sz w:val="32"/>
          <w:highlight w:val="none"/>
        </w:rPr>
        <w:t>%，绩效指标完成率</w:t>
      </w:r>
      <w:r>
        <w:rPr>
          <w:rFonts w:hint="eastAsia"/>
          <w:color w:val="auto"/>
          <w:sz w:val="32"/>
          <w:highlight w:val="none"/>
          <w:lang w:val="en-US" w:eastAsia="zh-CN"/>
        </w:rPr>
        <w:t>89.1</w:t>
      </w:r>
      <w:r>
        <w:rPr>
          <w:rFonts w:hint="eastAsia"/>
          <w:color w:val="auto"/>
          <w:sz w:val="32"/>
          <w:highlight w:val="none"/>
        </w:rPr>
        <w:t>%，偏差率</w:t>
      </w:r>
      <w:r>
        <w:rPr>
          <w:rFonts w:hint="eastAsia"/>
          <w:color w:val="auto"/>
          <w:sz w:val="32"/>
          <w:highlight w:val="none"/>
          <w:lang w:val="en-US" w:eastAsia="zh-CN"/>
        </w:rPr>
        <w:t>58.9</w:t>
      </w:r>
      <w:r>
        <w:rPr>
          <w:rFonts w:hint="eastAsia"/>
          <w:color w:val="auto"/>
          <w:sz w:val="32"/>
          <w:highlight w:val="none"/>
        </w:rPr>
        <w:t>%。偏差原因：第三方机构未及时提供支出资料，未能按时支出。</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2"/>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2"/>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1.51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94.18</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ADCABA"/>
    <w:multiLevelType w:val="singleLevel"/>
    <w:tmpl w:val="59ADCABA"/>
    <w:lvl w:ilvl="0" w:tentative="0">
      <w:start w:val="2"/>
      <w:numFmt w:val="decimal"/>
      <w:suff w:val="nothing"/>
      <w:lvlText w:val="%1．"/>
      <w:lvlJc w:val="left"/>
      <w:rPr>
        <w:rFonts w:hint="default"/>
        <w:b/>
        <w:bC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1A674ADB"/>
    <w:rsid w:val="73BB77AC"/>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字符"/>
    <w:link w:val="3"/>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Body text|1_"/>
    <w:link w:val="27"/>
    <w:uiPriority w:val="0"/>
    <w:rPr>
      <w:rFonts w:ascii="宋体" w:hAnsi="宋体" w:cs="宋体"/>
      <w:kern w:val="2"/>
      <w:sz w:val="30"/>
      <w:szCs w:val="30"/>
      <w:lang w:val="zh-TW" w:eastAsia="zh-TW" w:bidi="zh-TW"/>
    </w:rPr>
  </w:style>
  <w:style w:type="paragraph" w:customStyle="1" w:styleId="27">
    <w:name w:val="Body text|1"/>
    <w:basedOn w:val="1"/>
    <w:link w:val="26"/>
    <w:qFormat/>
    <w:uiPriority w:val="0"/>
    <w:pPr>
      <w:spacing w:line="420" w:lineRule="auto"/>
      <w:ind w:firstLine="400"/>
    </w:pPr>
    <w:rPr>
      <w:rFonts w:ascii="宋体" w:hAnsi="宋体" w:eastAsia="宋体" w:cs="宋体"/>
      <w:szCs w:val="30"/>
      <w:lang w:val="zh-TW" w:eastAsia="zh-TW" w:bidi="zh-TW"/>
    </w:rPr>
  </w:style>
  <w:style w:type="character" w:customStyle="1" w:styleId="28">
    <w:name w:val="闻政-正文三级标题 Char"/>
    <w:link w:val="29"/>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List Paragraph"/>
    <w:basedOn w:val="1"/>
    <w:qFormat/>
    <w:uiPriority w:val="34"/>
    <w:pPr>
      <w:ind w:firstLine="420" w:firstLineChars="200"/>
    </w:pPr>
    <w:rPr>
      <w:rFonts w:ascii="Calibri" w:hAnsi="Calibri" w:eastAsia="宋体" w:cs="Times New Roman"/>
      <w:sz w:val="21"/>
      <w:szCs w:val="21"/>
    </w:rPr>
  </w:style>
  <w:style w:type="paragraph" w:customStyle="1" w:styleId="31">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2">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3">
    <w:name w:val="标题2"/>
    <w:basedOn w:val="4"/>
    <w:qFormat/>
    <w:uiPriority w:val="0"/>
    <w:pPr>
      <w:numPr>
        <w:ilvl w:val="0"/>
        <w:numId w:val="1"/>
      </w:numPr>
      <w:spacing w:before="120" w:after="120" w:line="500" w:lineRule="exact"/>
    </w:pPr>
    <w:rPr>
      <w:rFonts w:ascii="仿宋_GB2312" w:eastAsia="仿宋_GB2312"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6A85D4AA584A4628B60CE1D0287247AD_13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ff720d-9f98-4faa-953f-275246de42c3}">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6</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cp:lastModifiedBy>
  <dcterms:modified xsi:type="dcterms:W3CDTF">2026-06-08T04:05:49Z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6A85D4AA584A4628B60CE1D0287247AD_13</vt:lpwstr>
  </property>
  <property fmtid="{D5CDD505-2E9C-101B-9397-08002B2CF9AE}" pid="4" name="KSOTemplateDocerSaveRecord">
    <vt:lpwstr>eyJoZGlkIjoiYzZkNzQ4ZWFiZmQ4NTRhOWRkZTk3YTMwMjlmMmZhYmUiLCJ1c2VySWQiOiI1NzgxMjU4NDIifQ_x003D__x003D_</vt:lpwstr>
  </property>
</Properties>
</file>