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2024年培训运行费项目</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（2024年度）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项目名称：2024年培训运行费项目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项目单位：中共阿图什市委员会党校</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主管部门：中共阿图什市委员会党校</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202</w:t>
      </w:r>
      <w:r>
        <w:rPr>
          <w:rFonts w:ascii="黑体" w:hAnsi="黑体" w:eastAsia="黑体" w:cs="仿宋_GB2312"/>
          <w:color w:val="auto"/>
          <w:sz w:val="32"/>
          <w:szCs w:val="32"/>
          <w:highlight w:val="none"/>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28</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2024年培训运行费项目</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根据2024年党校预算会议纪要，保障2024年全年培训工作任务及全年的会议保障，阿图什市委党校在市委、市政府的正确领导下，严格落实《中国共产党党校工作条例》《干部教育培训工作条例》《中共中央关于加强和改进新形势下党校工作的意见》，紧紧围绕市委、市政府中心工作，充分发挥审判职能作用，进一步加大干部培训、轮训规模和力度，为阿图什市经济发展提供了人才支持和智力支持。</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资金350万元，用于开展培训次数30次，采购办公用品及书本批次30批培训费用于伙食费250万、培训费办公用品及书本费50万、其他保障培训班的费用50万。充分发挥审判职能作用，进一步加大干部培训、轮训规模和力度，为阿图什市经济发展提供了人才支持和智力支持。</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中共阿图什市委员会党校,实施单位为中共阿图什市委员会党校，主要职责：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实施时间：202</w:t>
      </w:r>
      <w:r>
        <w:rPr>
          <w:rFonts w:ascii="仿宋_GB2312" w:hAnsi="仿宋_GB2312" w:cs="仿宋_GB2312"/>
          <w:bCs/>
          <w:color w:val="auto"/>
          <w:sz w:val="32"/>
          <w:szCs w:val="30"/>
          <w:highlight w:val="none"/>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r>
        <w:rPr>
          <w:rFonts w:hint="eastAsia" w:ascii="仿宋_GB2312"/>
          <w:color w:val="auto"/>
          <w:sz w:val="32"/>
          <w:szCs w:val="32"/>
          <w:highlight w:val="none"/>
        </w:rPr>
        <w:t>项目实施前进行充分调研，并制定项目实施方案，项目实施过程中严格按照实施方案进行实施并及时进行监督管理，项目实施后进行及时验收及后期维护</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bCs w:val="0"/>
          <w:color w:val="auto"/>
          <w:spacing w:val="-4"/>
          <w:sz w:val="32"/>
          <w:szCs w:val="30"/>
          <w:highlight w:val="none"/>
        </w:rPr>
      </w:pPr>
      <w:r>
        <w:rPr>
          <w:rStyle w:val="13"/>
          <w:rFonts w:hint="eastAsia" w:ascii="仿宋_GB2312" w:hAnsi="仿宋_GB2312" w:cs="仿宋_GB2312"/>
          <w:b w:val="0"/>
          <w:bCs w:val="0"/>
          <w:color w:val="auto"/>
          <w:spacing w:val="-4"/>
          <w:sz w:val="32"/>
          <w:szCs w:val="30"/>
          <w:highlight w:val="none"/>
        </w:rPr>
        <w:t>资金投入情况：本项目总投资</w:t>
      </w:r>
      <w:r>
        <w:rPr>
          <w:rStyle w:val="13"/>
          <w:rFonts w:hint="eastAsia" w:ascii="仿宋_GB2312" w:hAnsi="仿宋_GB2312" w:cs="仿宋_GB2312"/>
          <w:b w:val="0"/>
          <w:bCs w:val="0"/>
          <w:color w:val="auto"/>
          <w:spacing w:val="-4"/>
          <w:sz w:val="32"/>
          <w:szCs w:val="30"/>
          <w:highlight w:val="none"/>
          <w:lang w:val="en-US" w:eastAsia="zh-CN"/>
        </w:rPr>
        <w:t>350</w:t>
      </w:r>
      <w:r>
        <w:rPr>
          <w:rStyle w:val="13"/>
          <w:rFonts w:hint="eastAsia" w:ascii="仿宋_GB2312" w:hAnsi="仿宋_GB2312" w:cs="仿宋_GB2312"/>
          <w:b w:val="0"/>
          <w:bCs w:val="0"/>
          <w:color w:val="auto"/>
          <w:spacing w:val="-4"/>
          <w:sz w:val="32"/>
          <w:szCs w:val="30"/>
          <w:highlight w:val="none"/>
        </w:rPr>
        <w:t>万元，资金来源为本级部门预算资金。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w:t>
      </w:r>
      <w:r>
        <w:rPr>
          <w:rStyle w:val="13"/>
          <w:rFonts w:hint="eastAsia" w:ascii="仿宋_GB2312" w:hAnsi="仿宋_GB2312" w:cs="仿宋_GB2312"/>
          <w:b w:val="0"/>
          <w:color w:val="auto"/>
          <w:spacing w:val="-4"/>
          <w:sz w:val="32"/>
          <w:szCs w:val="30"/>
          <w:highlight w:val="none"/>
          <w:lang w:val="en-US" w:eastAsia="zh-CN"/>
        </w:rPr>
        <w:t>105.68</w:t>
      </w:r>
      <w:r>
        <w:rPr>
          <w:rStyle w:val="13"/>
          <w:rFonts w:hint="eastAsia" w:ascii="仿宋_GB2312" w:hAnsi="仿宋_GB2312" w:cs="仿宋_GB2312"/>
          <w:b w:val="0"/>
          <w:color w:val="auto"/>
          <w:spacing w:val="-4"/>
          <w:sz w:val="32"/>
          <w:szCs w:val="30"/>
          <w:highlight w:val="none"/>
        </w:rPr>
        <w:t>万元，资金执行率达到</w:t>
      </w:r>
      <w:r>
        <w:rPr>
          <w:rStyle w:val="13"/>
          <w:rFonts w:hint="eastAsia" w:ascii="仿宋_GB2312" w:hAnsi="仿宋_GB2312" w:cs="仿宋_GB2312"/>
          <w:b w:val="0"/>
          <w:color w:val="auto"/>
          <w:spacing w:val="-4"/>
          <w:sz w:val="32"/>
          <w:szCs w:val="30"/>
          <w:highlight w:val="none"/>
          <w:lang w:val="en-US" w:eastAsia="zh-CN"/>
        </w:rPr>
        <w:t>30.2</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b w:val="0"/>
          <w:color w:val="auto"/>
          <w:spacing w:val="-4"/>
          <w:sz w:val="32"/>
          <w:highlight w:val="none"/>
        </w:rPr>
      </w:pPr>
      <w:r>
        <w:rPr>
          <w:rStyle w:val="13"/>
          <w:rFonts w:hint="eastAsia" w:ascii="仿宋_GB2312"/>
          <w:b w:val="0"/>
          <w:color w:val="auto"/>
          <w:spacing w:val="-4"/>
          <w:sz w:val="32"/>
          <w:highlight w:val="none"/>
        </w:rPr>
        <w:t>培训费用于伙食费</w:t>
      </w:r>
      <w:r>
        <w:rPr>
          <w:rStyle w:val="13"/>
          <w:rFonts w:hint="eastAsia" w:ascii="仿宋_GB2312"/>
          <w:b w:val="0"/>
          <w:color w:val="auto"/>
          <w:spacing w:val="-4"/>
          <w:sz w:val="32"/>
          <w:highlight w:val="none"/>
          <w:lang w:eastAsia="zh-CN"/>
        </w:rPr>
        <w:t>：</w:t>
      </w:r>
      <w:r>
        <w:rPr>
          <w:rStyle w:val="13"/>
          <w:rFonts w:hint="eastAsia" w:ascii="仿宋_GB2312"/>
          <w:b w:val="0"/>
          <w:color w:val="auto"/>
          <w:spacing w:val="-4"/>
          <w:sz w:val="32"/>
          <w:highlight w:val="none"/>
        </w:rPr>
        <w:t>5.68万元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b w:val="0"/>
          <w:color w:val="auto"/>
          <w:spacing w:val="-4"/>
          <w:sz w:val="32"/>
          <w:highlight w:val="none"/>
        </w:rPr>
      </w:pPr>
      <w:r>
        <w:rPr>
          <w:rStyle w:val="13"/>
          <w:rFonts w:hint="eastAsia" w:ascii="仿宋_GB2312"/>
          <w:b w:val="0"/>
          <w:color w:val="auto"/>
          <w:spacing w:val="-4"/>
          <w:sz w:val="32"/>
          <w:highlight w:val="none"/>
        </w:rPr>
        <w:t>培训费办公用品及书本费</w:t>
      </w:r>
      <w:r>
        <w:rPr>
          <w:rStyle w:val="13"/>
          <w:rFonts w:hint="eastAsia" w:ascii="仿宋_GB2312"/>
          <w:b w:val="0"/>
          <w:color w:val="auto"/>
          <w:spacing w:val="-4"/>
          <w:sz w:val="32"/>
          <w:highlight w:val="none"/>
          <w:lang w:eastAsia="zh-CN"/>
        </w:rPr>
        <w:t>：</w:t>
      </w:r>
      <w:r>
        <w:rPr>
          <w:rStyle w:val="13"/>
          <w:rFonts w:hint="eastAsia" w:ascii="仿宋_GB2312"/>
          <w:b w:val="0"/>
          <w:color w:val="auto"/>
          <w:spacing w:val="-4"/>
          <w:sz w:val="32"/>
          <w:highlight w:val="none"/>
        </w:rPr>
        <w:t>50万元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b w:val="0"/>
          <w:color w:val="auto"/>
          <w:spacing w:val="-4"/>
          <w:sz w:val="32"/>
          <w:highlight w:val="none"/>
        </w:rPr>
      </w:pPr>
      <w:r>
        <w:rPr>
          <w:rStyle w:val="13"/>
          <w:rFonts w:hint="eastAsia" w:ascii="仿宋_GB2312"/>
          <w:b w:val="0"/>
          <w:color w:val="auto"/>
          <w:spacing w:val="-4"/>
          <w:sz w:val="32"/>
          <w:highlight w:val="none"/>
        </w:rPr>
        <w:t>其他保障培训班的费用</w:t>
      </w:r>
      <w:r>
        <w:rPr>
          <w:rStyle w:val="13"/>
          <w:rFonts w:hint="eastAsia" w:ascii="仿宋_GB2312"/>
          <w:b w:val="0"/>
          <w:color w:val="auto"/>
          <w:spacing w:val="-4"/>
          <w:sz w:val="32"/>
          <w:highlight w:val="none"/>
          <w:lang w:eastAsia="zh-CN"/>
        </w:rPr>
        <w:t>：</w:t>
      </w:r>
      <w:r>
        <w:rPr>
          <w:rStyle w:val="13"/>
          <w:rFonts w:hint="eastAsia" w:ascii="仿宋_GB2312"/>
          <w:b w:val="0"/>
          <w:color w:val="auto"/>
          <w:spacing w:val="-4"/>
          <w:sz w:val="32"/>
          <w:highlight w:val="none"/>
        </w:rPr>
        <w:t>50万元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项目资金350万元，用于开展培训次数30次，采购办公用品及书本批次30批培训费用于伙食费250万、培训费办公用品及书本费50万、其他保障培训班的费用50万。充分发挥审判职能作用，进一步加大干部培训、轮训规模和力度，为阿图什市经济发展提供了人才支持和智力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（一）绩效评价目的、对象和范围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本次绩效评价遵循财政部《项目支出绩效评价管理办法》（财预〔2020〕10号）和自治区财政厅</w:t>
      </w:r>
      <w:r>
        <w:rPr>
          <w:rFonts w:hint="eastAsia" w:ascii="仿宋_GB2312" w:hAnsi="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cs="仿宋_GB2312"/>
          <w:color w:val="auto"/>
          <w:sz w:val="32"/>
          <w:szCs w:val="32"/>
          <w:highlight w:val="none"/>
        </w:rPr>
        <w:t>等相关政策文件</w:t>
      </w:r>
      <w:r>
        <w:rPr>
          <w:rFonts w:hint="eastAsia" w:ascii="仿宋_GB2312" w:hAnsi="仿宋_GB2312" w:cs="仿宋_GB2312"/>
          <w:color w:val="auto"/>
          <w:sz w:val="32"/>
          <w:szCs w:val="32"/>
          <w:highlight w:val="none"/>
          <w:lang w:eastAsia="zh-CN"/>
        </w:rPr>
        <w:t>和</w:t>
      </w:r>
      <w:r>
        <w:rPr>
          <w:rFonts w:hint="eastAsia" w:ascii="仿宋_GB2312" w:hAnsi="仿宋_GB2312" w:cs="仿宋_GB2312"/>
          <w:color w:val="auto"/>
          <w:sz w:val="32"/>
          <w:szCs w:val="32"/>
          <w:highlight w:val="none"/>
        </w:rPr>
        <w:t>规定，绩效评价旨在评价本项目前期审批、实施过程及实施效果，促进预算管理不断完善，加快绩效目标的实现，保证财政资金有效、合理使用，具体绩效评价的目的细分如下：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2024年培训运行费项目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color w:val="auto"/>
          <w:sz w:val="32"/>
          <w:highlight w:val="none"/>
        </w:rPr>
      </w:pPr>
      <w:r>
        <w:rPr>
          <w:rFonts w:hint="eastAsia" w:ascii="楷体" w:hAnsi="楷体" w:eastAsia="楷体" w:cs="仿宋_GB2312"/>
          <w:b/>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rPr>
      </w:pPr>
      <w:r>
        <w:rPr>
          <w:rFonts w:hint="eastAsia" w:ascii="仿宋_GB2312" w:hAnsi="仿宋_GB2312" w:cs="仿宋_GB2312"/>
          <w:b/>
          <w:bCs/>
          <w:color w:val="auto"/>
          <w:sz w:val="32"/>
          <w:highlight w:val="none"/>
        </w:rPr>
        <w:t>2．绩效评价指标体系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在对</w:t>
      </w:r>
      <w:r>
        <w:rPr>
          <w:rFonts w:hint="eastAsia" w:ascii="仿宋_GB2312" w:hAnsi="仿宋_GB2312" w:cs="仿宋_GB2312"/>
          <w:color w:val="auto"/>
          <w:sz w:val="32"/>
          <w:highlight w:val="none"/>
          <w:lang w:eastAsia="zh-CN"/>
        </w:rPr>
        <w:t>2024年培训运行费项目</w:t>
      </w:r>
      <w:r>
        <w:rPr>
          <w:rFonts w:hint="eastAsia" w:ascii="仿宋_GB2312" w:hAnsi="仿宋_GB2312" w:cs="仿宋_GB2312"/>
          <w:color w:val="auto"/>
          <w:sz w:val="32"/>
          <w:highlight w:val="none"/>
        </w:rPr>
        <w:t>的深入调研基础上，按照《项目支出绩效评价管理办法》（财预〔2021〕10号）对于指标体系的要求和规范，建立一套适合评价</w:t>
      </w:r>
      <w:r>
        <w:rPr>
          <w:rFonts w:hint="eastAsia" w:ascii="仿宋_GB2312" w:hAnsi="仿宋_GB2312" w:cs="仿宋_GB2312"/>
          <w:color w:val="auto"/>
          <w:sz w:val="32"/>
          <w:highlight w:val="none"/>
          <w:lang w:eastAsia="zh-CN"/>
        </w:rPr>
        <w:t>2024年培训运行费项目</w:t>
      </w:r>
      <w:r>
        <w:rPr>
          <w:rFonts w:hint="eastAsia" w:ascii="仿宋_GB2312" w:hAnsi="仿宋_GB2312" w:cs="仿宋_GB2312"/>
          <w:color w:val="auto"/>
          <w:sz w:val="32"/>
          <w:highlight w:val="none"/>
        </w:rPr>
        <w:t>的指标体系，从项目决策、项目过程、项目产出和项目绩效四个维度全面考察</w:t>
      </w:r>
      <w:r>
        <w:rPr>
          <w:rFonts w:hint="eastAsia" w:ascii="仿宋_GB2312" w:hAnsi="仿宋_GB2312" w:cs="仿宋_GB2312"/>
          <w:color w:val="auto"/>
          <w:sz w:val="32"/>
          <w:highlight w:val="none"/>
          <w:lang w:eastAsia="zh-CN"/>
        </w:rPr>
        <w:t>2024年培训运行费项目</w:t>
      </w:r>
      <w:r>
        <w:rPr>
          <w:rFonts w:hint="eastAsia" w:ascii="仿宋_GB2312" w:hAnsi="仿宋_GB2312" w:cs="仿宋_GB2312"/>
          <w:color w:val="auto"/>
          <w:sz w:val="32"/>
          <w:highlight w:val="none"/>
        </w:rPr>
        <w:t>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olor w:val="auto"/>
          <w:sz w:val="32"/>
          <w:szCs w:val="32"/>
          <w:highlight w:val="none"/>
        </w:rPr>
      </w:pPr>
      <w:r>
        <w:rPr>
          <w:rFonts w:hint="eastAsia" w:ascii="仿宋_GB2312" w:hAnsi="仿宋_GB2312" w:cs="仿宋_GB2312"/>
          <w:b/>
          <w:bCs/>
          <w:color w:val="auto"/>
          <w:sz w:val="32"/>
          <w:highlight w:val="none"/>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②定性指标分析环节：主要采用公众评判法，通过问卷及抽样调查等方式评价本项目实施后社会公众对于其实施效果的满意程度，将调研结果按照《项目支出绩效评价管理办法》（财预〔2020〕10号）与《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预算编制科学性成本效益分析法</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资金使用合规性：文献法、实地勘察法，一是查找资金管理办法，包括专项资金管理办法和单位自有资金管理办法；二是通过查账了解具体开支情况，是否专款专用，是否按照标准支出。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量指标：比较法，将实际完成值与年初指标值相比，完成指标值的，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szCs w:val="32"/>
          <w:highlight w:val="none"/>
        </w:rPr>
      </w:pPr>
      <w:r>
        <w:rPr>
          <w:rFonts w:hint="eastAsia" w:ascii="仿宋_GB2312" w:hAnsi="仿宋_GB2312" w:cs="仿宋_GB2312"/>
          <w:b/>
          <w:color w:val="auto"/>
          <w:sz w:val="32"/>
          <w:szCs w:val="32"/>
          <w:highlight w:val="none"/>
        </w:rPr>
        <w:t>绩效评价标准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lang w:eastAsia="zh-CN"/>
        </w:rPr>
        <w:t>2024年培训运行费项目</w:t>
      </w:r>
      <w:r>
        <w:rPr>
          <w:rFonts w:hint="eastAsia" w:ascii="仿宋_GB2312" w:hAnsi="仿宋_GB2312" w:cs="仿宋_GB2312"/>
          <w:color w:val="auto"/>
          <w:sz w:val="32"/>
          <w:highlight w:val="none"/>
        </w:rPr>
        <w:t>属于</w:t>
      </w:r>
      <w:r>
        <w:rPr>
          <w:rFonts w:hint="eastAsia" w:ascii="仿宋_GB2312" w:hAnsi="仿宋_GB2312" w:cs="仿宋_GB2312"/>
          <w:color w:val="auto"/>
          <w:sz w:val="32"/>
          <w:highlight w:val="none"/>
          <w:lang w:val="en-US" w:eastAsia="zh-CN"/>
        </w:rPr>
        <w:t>业务</w:t>
      </w:r>
      <w:r>
        <w:rPr>
          <w:rFonts w:hint="eastAsia" w:ascii="仿宋_GB2312" w:hAnsi="仿宋_GB2312" w:cs="仿宋_GB2312"/>
          <w:color w:val="auto"/>
          <w:sz w:val="32"/>
          <w:highlight w:val="none"/>
        </w:rPr>
        <w:t>类项目，</w:t>
      </w:r>
      <w:r>
        <w:rPr>
          <w:rFonts w:hint="eastAsia" w:ascii="仿宋_GB2312" w:hAnsi="仿宋_GB2312" w:cs="仿宋_GB2312"/>
          <w:bCs/>
          <w:color w:val="auto"/>
          <w:sz w:val="32"/>
          <w:highlight w:val="none"/>
        </w:rPr>
        <w:t>有</w:t>
      </w:r>
      <w:r>
        <w:rPr>
          <w:rFonts w:hint="eastAsia" w:ascii="仿宋_GB2312" w:hAnsi="仿宋_GB2312" w:cs="仿宋_GB2312"/>
          <w:color w:val="auto"/>
          <w:sz w:val="32"/>
          <w:highlight w:val="none"/>
        </w:rPr>
        <w:t>相应的行业标准和历史标准，故采用</w:t>
      </w:r>
      <w:r>
        <w:rPr>
          <w:rFonts w:hint="eastAsia" w:ascii="仿宋_GB2312"/>
          <w:color w:val="auto"/>
          <w:sz w:val="32"/>
          <w:highlight w:val="none"/>
        </w:rPr>
        <w:t>计划标准、行业标准、历史标准</w:t>
      </w:r>
      <w:r>
        <w:rPr>
          <w:rFonts w:hint="eastAsia" w:ascii="仿宋_GB2312" w:hAnsi="仿宋_GB2312" w:cs="仿宋_GB2312"/>
          <w:color w:val="auto"/>
          <w:sz w:val="32"/>
          <w:highlight w:val="none"/>
        </w:rPr>
        <w:t>评价该项目。</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color w:val="auto"/>
          <w:sz w:val="32"/>
          <w:highlight w:val="none"/>
        </w:rPr>
      </w:pPr>
      <w:r>
        <w:rPr>
          <w:rFonts w:hint="eastAsia" w:ascii="楷体" w:hAnsi="楷体" w:eastAsia="楷体" w:cs="仿宋_GB2312"/>
          <w:b/>
          <w:bCs/>
          <w:color w:val="auto"/>
          <w:sz w:val="32"/>
          <w:highlight w:val="none"/>
        </w:rPr>
        <w:t>（三）绩效评价工作过程。</w:t>
      </w:r>
    </w:p>
    <w:p>
      <w:pPr>
        <w:pBdr>
          <w:top w:val="none" w:color="auto" w:sz="0" w:space="0"/>
          <w:left w:val="none" w:color="auto" w:sz="0" w:space="0"/>
          <w:bottom w:val="none" w:color="auto" w:sz="0" w:space="31"/>
          <w:right w:val="none" w:color="auto" w:sz="0" w:space="2"/>
        </w:pBdr>
        <w:autoSpaceDN w:val="0"/>
        <w:adjustRightInd w:val="0"/>
        <w:spacing w:line="560" w:lineRule="exact"/>
        <w:ind w:left="600" w:leftChars="200"/>
        <w:contextualSpacing/>
        <w:rPr>
          <w:rFonts w:hint="eastAsia" w:ascii="仿宋_GB2312" w:hAnsi="仿宋_GB2312" w:cs="仿宋_GB2312"/>
          <w:b/>
          <w:color w:val="auto"/>
          <w:sz w:val="32"/>
          <w:highlight w:val="none"/>
        </w:rPr>
      </w:pPr>
      <w:r>
        <w:rPr>
          <w:rFonts w:hint="eastAsia" w:ascii="仿宋_GB2312" w:hAnsi="仿宋_GB2312" w:cs="仿宋_GB2312"/>
          <w:b/>
          <w:color w:val="auto"/>
          <w:sz w:val="32"/>
          <w:highlight w:val="none"/>
        </w:rPr>
        <w:t>1．前期准备</w:t>
      </w:r>
    </w:p>
    <w:p>
      <w:pPr>
        <w:pStyle w:val="33"/>
        <w:keepNext w:val="0"/>
        <w:keepLines w:val="0"/>
        <w:numPr>
          <w:ilvl w:val="0"/>
          <w:numId w:val="0"/>
        </w:numPr>
        <w:spacing w:before="0" w:after="0" w:line="560" w:lineRule="exact"/>
        <w:ind w:firstLine="640" w:firstLineChars="200"/>
        <w:outlineLvl w:val="9"/>
        <w:rPr>
          <w:b w:val="0"/>
          <w:bCs w:val="0"/>
          <w:color w:val="auto"/>
          <w:highlight w:val="none"/>
        </w:rPr>
      </w:pPr>
      <w:r>
        <w:rPr>
          <w:rFonts w:hint="eastAsia"/>
          <w:b w:val="0"/>
          <w:bCs w:val="0"/>
          <w:color w:val="auto"/>
          <w:highlight w:val="none"/>
        </w:rPr>
        <w:t>本次评价成立了评价工作组，成员如下：</w:t>
      </w:r>
    </w:p>
    <w:tbl>
      <w:tblPr>
        <w:tblStyle w:val="10"/>
        <w:tblW w:w="8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3"/>
        <w:gridCol w:w="1872"/>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3073" w:type="dxa"/>
            <w:vAlign w:val="center"/>
          </w:tcPr>
          <w:p>
            <w:pPr>
              <w:pStyle w:val="33"/>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72" w:type="dxa"/>
            <w:vAlign w:val="center"/>
          </w:tcPr>
          <w:p>
            <w:pPr>
              <w:pStyle w:val="33"/>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职务</w:t>
            </w:r>
          </w:p>
        </w:tc>
        <w:tc>
          <w:tcPr>
            <w:tcW w:w="3780" w:type="dxa"/>
            <w:vAlign w:val="center"/>
          </w:tcPr>
          <w:p>
            <w:pPr>
              <w:pStyle w:val="33"/>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3" w:type="dxa"/>
            <w:vAlign w:val="center"/>
          </w:tcPr>
          <w:p>
            <w:pPr>
              <w:pStyle w:val="33"/>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迪丽努尔·吐尔洪</w:t>
            </w:r>
          </w:p>
        </w:tc>
        <w:tc>
          <w:tcPr>
            <w:tcW w:w="1872" w:type="dxa"/>
            <w:vAlign w:val="center"/>
          </w:tcPr>
          <w:p>
            <w:pPr>
              <w:pStyle w:val="33"/>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780" w:type="dxa"/>
            <w:vAlign w:val="center"/>
          </w:tcPr>
          <w:p>
            <w:pPr>
              <w:pStyle w:val="33"/>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3" w:type="dxa"/>
            <w:vAlign w:val="center"/>
          </w:tcPr>
          <w:p>
            <w:pPr>
              <w:pStyle w:val="33"/>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阿提拉克孜·买海提</w:t>
            </w:r>
          </w:p>
        </w:tc>
        <w:tc>
          <w:tcPr>
            <w:tcW w:w="1872" w:type="dxa"/>
            <w:vAlign w:val="center"/>
          </w:tcPr>
          <w:p>
            <w:pPr>
              <w:pStyle w:val="33"/>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780" w:type="dxa"/>
            <w:vAlign w:val="center"/>
          </w:tcPr>
          <w:p>
            <w:pPr>
              <w:pStyle w:val="33"/>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3" w:type="dxa"/>
            <w:vAlign w:val="center"/>
          </w:tcPr>
          <w:p>
            <w:pPr>
              <w:pStyle w:val="33"/>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韩娟</w:t>
            </w:r>
          </w:p>
        </w:tc>
        <w:tc>
          <w:tcPr>
            <w:tcW w:w="1872" w:type="dxa"/>
            <w:vAlign w:val="center"/>
          </w:tcPr>
          <w:p>
            <w:pPr>
              <w:pStyle w:val="33"/>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780" w:type="dxa"/>
            <w:vAlign w:val="center"/>
          </w:tcPr>
          <w:p>
            <w:pPr>
              <w:pStyle w:val="33"/>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出具项目绩效评价报告</w:t>
            </w:r>
          </w:p>
        </w:tc>
      </w:tr>
    </w:tbl>
    <w:p>
      <w:pPr>
        <w:pStyle w:val="27"/>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培训运行费项目的内容和特征制定了评价指标体系及评价标准以及评价实施方案，修正并确定所需资料清单，最终确定实施方案。</w:t>
      </w:r>
    </w:p>
    <w:p>
      <w:pPr>
        <w:pStyle w:val="27"/>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7"/>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w:t>
      </w:r>
      <w:r>
        <w:rPr>
          <w:rFonts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24"/>
          <w:highlight w:val="none"/>
          <w:lang w:val="en-US" w:eastAsia="zh-CN" w:bidi="ar-SA"/>
        </w:rPr>
        <w:t>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7"/>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7"/>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w:t>
      </w:r>
      <w:r>
        <w:rPr>
          <w:rFonts w:ascii="仿宋_GB2312" w:hAnsi="仿宋_GB2312" w:eastAsia="仿宋_GB2312" w:cs="仿宋_GB2312"/>
          <w:color w:val="auto"/>
          <w:sz w:val="32"/>
          <w:szCs w:val="32"/>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7"/>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7"/>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7"/>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组织管理、产出与效益效果。在此基础上，以相关的项目数据为基础，综合运用不同的评价方法，结合评价标准和评分规则，2024年培训运行费项目综合得分为94.18分，</w:t>
      </w:r>
      <w:r>
        <w:rPr>
          <w:rFonts w:hint="eastAsia" w:ascii="仿宋_GB2312" w:hAnsi="Cambria" w:eastAsia="仿宋_GB2312"/>
          <w:color w:val="auto"/>
          <w:sz w:val="32"/>
          <w:szCs w:val="32"/>
          <w:highlight w:val="none"/>
        </w:rPr>
        <w:t>评价结果为优。</w:t>
      </w:r>
    </w:p>
    <w:p>
      <w:pPr>
        <w:pStyle w:val="27"/>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2024年培训运行费项目评价得分情况</w:t>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31"/>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vAlign w:val="top"/>
          </w:tcPr>
          <w:p>
            <w:pPr>
              <w:pStyle w:val="31"/>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shd w:val="clear" w:color="auto" w:fill="FFFFFF"/>
            <w:vAlign w:val="center"/>
          </w:tcPr>
          <w:p>
            <w:pPr>
              <w:pStyle w:val="31"/>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31"/>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13.51</w:t>
            </w:r>
          </w:p>
        </w:tc>
        <w:tc>
          <w:tcPr>
            <w:tcW w:w="3866" w:type="dxa"/>
            <w:tcBorders>
              <w:top w:val="single" w:color="auto" w:sz="4" w:space="0"/>
              <w:left w:val="single" w:color="auto" w:sz="4" w:space="0"/>
              <w:right w:val="single" w:color="auto" w:sz="4" w:space="0"/>
            </w:tcBorders>
            <w:shd w:val="clear" w:color="auto" w:fill="FFFFFF"/>
            <w:vAlign w:val="bottom"/>
          </w:tcPr>
          <w:p>
            <w:pPr>
              <w:pStyle w:val="31"/>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预算执行率扣3.49分</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31"/>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31"/>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27.67</w:t>
            </w:r>
          </w:p>
        </w:tc>
        <w:tc>
          <w:tcPr>
            <w:tcW w:w="3866" w:type="dxa"/>
            <w:tcBorders>
              <w:top w:val="single" w:color="auto" w:sz="4" w:space="0"/>
              <w:left w:val="single" w:color="auto" w:sz="4" w:space="0"/>
              <w:right w:val="single" w:color="auto" w:sz="4" w:space="0"/>
            </w:tcBorders>
            <w:shd w:val="clear" w:color="auto" w:fill="FFFFFF"/>
            <w:vAlign w:val="center"/>
          </w:tcPr>
          <w:p>
            <w:pPr>
              <w:pStyle w:val="31"/>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成本指标扣2.33分</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31"/>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31"/>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1"/>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31"/>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31"/>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94.18</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2024年培训运行费项目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通过本项目的实施202</w:t>
      </w:r>
      <w:r>
        <w:rPr>
          <w:rFonts w:ascii="仿宋_GB2312" w:hAnsi="仿宋_GB2312" w:cs="仿宋_GB2312"/>
          <w:color w:val="auto"/>
          <w:sz w:val="32"/>
          <w:szCs w:val="32"/>
          <w:highlight w:val="none"/>
        </w:rPr>
        <w:t>4</w:t>
      </w:r>
      <w:r>
        <w:rPr>
          <w:rFonts w:hint="eastAsia" w:ascii="仿宋_GB2312" w:hAnsi="仿宋_GB2312" w:cs="仿宋_GB2312"/>
          <w:color w:val="auto"/>
          <w:sz w:val="32"/>
          <w:szCs w:val="32"/>
          <w:highlight w:val="none"/>
        </w:rPr>
        <w:t>年已完成开展培训次数30次</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采购办公用品及书本批次</w:t>
      </w:r>
      <w:r>
        <w:rPr>
          <w:rFonts w:hint="eastAsia" w:ascii="仿宋_GB2312" w:hAnsi="仿宋_GB2312" w:cs="仿宋_GB2312"/>
          <w:color w:val="auto"/>
          <w:sz w:val="32"/>
          <w:szCs w:val="32"/>
          <w:highlight w:val="none"/>
        </w:rPr>
        <w:tab/>
      </w:r>
      <w:r>
        <w:rPr>
          <w:rFonts w:hint="eastAsia" w:ascii="仿宋_GB2312" w:hAnsi="仿宋_GB2312" w:cs="仿宋_GB2312"/>
          <w:color w:val="auto"/>
          <w:sz w:val="32"/>
          <w:szCs w:val="32"/>
          <w:highlight w:val="none"/>
        </w:rPr>
        <w:t>30批等工作；通过该项目的实施充分发挥审判职能作用，进一步加大干部培训、轮训规模和力度，为阿图什市经济发展提供了人才支持和智力支持。</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eastAsia="zh-CN"/>
        </w:rPr>
        <w:t>2024年培训运行费项目</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val="en-US" w:eastAsia="zh-CN"/>
        </w:rPr>
        <w:t>105.68</w:t>
      </w:r>
      <w:r>
        <w:rPr>
          <w:rFonts w:hint="eastAsia" w:ascii="仿宋_GB2312" w:hAnsi="仿宋_GB2312" w:cs="仿宋_GB2312"/>
          <w:color w:val="auto"/>
          <w:sz w:val="32"/>
          <w:szCs w:val="32"/>
          <w:highlight w:val="none"/>
        </w:rPr>
        <w:t>万元，评价得分值</w:t>
      </w:r>
      <w:r>
        <w:rPr>
          <w:rFonts w:hint="eastAsia" w:ascii="仿宋_GB2312" w:hAnsi="仿宋_GB2312" w:cs="仿宋_GB2312"/>
          <w:color w:val="auto"/>
          <w:sz w:val="32"/>
          <w:szCs w:val="32"/>
          <w:highlight w:val="none"/>
          <w:lang w:val="en-US" w:eastAsia="zh-CN"/>
        </w:rPr>
        <w:t>94.18</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本项目的立项符合相关法规政策及部门职责，依据充分；项目严格按照规定的程序申请设立；审批文件、材料符合相关要求；项目前期已经过必要的可行性研究、专家论证、风险评估、绩效评估、集体决策。</w:t>
      </w:r>
    </w:p>
    <w:p>
      <w:pPr>
        <w:spacing w:line="560" w:lineRule="exact"/>
        <w:ind w:firstLine="640" w:firstLineChars="20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w:t>
      </w:r>
    </w:p>
    <w:p>
      <w:pPr>
        <w:snapToGrid w:val="0"/>
        <w:spacing w:line="560" w:lineRule="exact"/>
        <w:ind w:firstLine="640" w:firstLineChars="20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并及时支付，资金使用符合国家法规和财务管理制度；资金拨付有完整的审批程序和手续，符合项目预算批复或合同规定的用途；不存在截留、挤占、挪用、虚列支出等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评估结果作为申报2025年</w:t>
      </w:r>
      <w:r>
        <w:rPr>
          <w:rFonts w:hint="eastAsia" w:ascii="仿宋_GB2312" w:hAnsi="仿宋_GB2312" w:cs="仿宋_GB2312"/>
          <w:color w:val="auto"/>
          <w:sz w:val="32"/>
          <w:szCs w:val="32"/>
          <w:highlight w:val="none"/>
          <w:lang w:eastAsia="zh-CN"/>
        </w:rPr>
        <w:t>培训运行费项目</w:t>
      </w:r>
      <w:r>
        <w:rPr>
          <w:rFonts w:hint="eastAsia" w:ascii="仿宋_GB2312" w:hAnsi="仿宋_GB2312" w:cs="仿宋_GB2312"/>
          <w:color w:val="auto"/>
          <w:sz w:val="32"/>
          <w:szCs w:val="32"/>
          <w:highlight w:val="none"/>
        </w:rPr>
        <w:t>预算依据。继而进行该项目支出预算的编制、执行和上报等工作。在项目预算的编制工程中，坚持履行政府职能方面的轻重缓急程度进行先后排序，坚持对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2024年培训运行费项目</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2024年培训运行费项目</w:t>
      </w:r>
      <w:r>
        <w:rPr>
          <w:rFonts w:hint="eastAsia" w:ascii="仿宋_GB2312" w:hAnsi="仿宋_GB2312" w:cs="仿宋_GB2312"/>
          <w:color w:val="auto"/>
          <w:sz w:val="32"/>
          <w:szCs w:val="32"/>
          <w:highlight w:val="none"/>
        </w:rPr>
        <w:t>组织形式，明确了该项目经费的开支范围为</w:t>
      </w:r>
      <w:r>
        <w:rPr>
          <w:rFonts w:hint="eastAsia" w:ascii="仿宋_GB2312" w:hAnsi="仿宋_GB2312" w:cs="仿宋_GB2312"/>
          <w:color w:val="auto"/>
          <w:sz w:val="32"/>
          <w:szCs w:val="32"/>
          <w:highlight w:val="none"/>
          <w:lang w:eastAsia="zh-CN"/>
        </w:rPr>
        <w:t>2024年培训运行</w:t>
      </w:r>
      <w:r>
        <w:rPr>
          <w:rFonts w:hint="eastAsia" w:ascii="仿宋_GB2312" w:hAnsi="仿宋_GB2312" w:cs="仿宋_GB2312"/>
          <w:color w:val="auto"/>
          <w:sz w:val="32"/>
          <w:szCs w:val="32"/>
          <w:highlight w:val="none"/>
          <w:lang w:val="en-US" w:eastAsia="zh-CN"/>
        </w:rPr>
        <w:t>资金</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，严格做到专款专用，责任到人。在资金使用环节，严格遵守相关规定，严格按照我局资金财务审批流程办理款项支付。在会计核算环节，对本项目资金实行单独核算，确保部门预算资金专款专用。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部门预算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财政资金管理制度，按照不定期检查与项目周期检查相结合的方式，对财政资金的使用情况进行监督检查。重点督查专项资金的使用进度，资金落实情况，对发现的问题，采取措施及时纠正、强化管理，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2024年培训运行费项目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（三）项目产出情况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数量指标为开展培训次数，预期指标值是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30次，实际完成值是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30次，指标达到预期目标。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数量指标为采购办公用品及书本批次，预期指标值是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30批，实际完成值是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30批，指标达到预期目标。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color w:val="auto"/>
          <w:sz w:val="32"/>
          <w:szCs w:val="32"/>
          <w:highlight w:val="none"/>
        </w:rPr>
      </w:pPr>
      <w:r>
        <w:rPr>
          <w:rFonts w:hint="eastAsia" w:ascii="仿宋_GB2312"/>
          <w:b/>
          <w:color w:val="auto"/>
          <w:sz w:val="32"/>
          <w:szCs w:val="32"/>
          <w:highlight w:val="none"/>
        </w:rPr>
        <w:t>质量指标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质量指标为培训合格率，预期指标值是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ascii="仿宋_GB2312"/>
          <w:color w:val="auto"/>
          <w:sz w:val="32"/>
          <w:szCs w:val="32"/>
          <w:highlight w:val="none"/>
        </w:rPr>
      </w:pPr>
      <w:r>
        <w:rPr>
          <w:rFonts w:hint="eastAsia" w:ascii="仿宋_GB2312"/>
          <w:b/>
          <w:color w:val="auto"/>
          <w:sz w:val="32"/>
          <w:szCs w:val="32"/>
          <w:highlight w:val="none"/>
        </w:rPr>
        <w:t>时效指标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时效指标为项目完成时间，预期指标值是2024年12月，实际完成值是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2024年12月，指标达到预期目标。</w:t>
      </w:r>
    </w:p>
    <w:p>
      <w:pPr>
        <w:spacing w:line="560" w:lineRule="exact"/>
        <w:ind w:firstLine="643" w:firstLineChars="200"/>
        <w:rPr>
          <w:rFonts w:hint="eastAsia" w:ascii="仿宋_GB2312"/>
          <w:b/>
          <w:color w:val="auto"/>
          <w:sz w:val="32"/>
          <w:szCs w:val="32"/>
          <w:highlight w:val="none"/>
        </w:rPr>
      </w:pPr>
      <w:r>
        <w:rPr>
          <w:rFonts w:hint="eastAsia" w:ascii="仿宋_GB2312"/>
          <w:b/>
          <w:color w:val="auto"/>
          <w:sz w:val="32"/>
          <w:szCs w:val="32"/>
          <w:highlight w:val="none"/>
        </w:rPr>
        <w:t>4．成本指标</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成本指标为培训费用于伙食费，预期指标值是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250万元，实际完成值是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5.68万元，指标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达到预期目标。原因：第三方机构未及时提供支出资料，未能按时支出；措施：及时催收支出资料，加快项目支出进度，减少偏差。</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成本指标为培训费办公用品及书本费，预期指标值是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50万元，实际完成值是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50万元，指标达到预期目标。</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成本指标为其他保障培训班的费用，预期指标值是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50万元，实际完成值是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50万元，指标达到预期目标。</w:t>
      </w:r>
    </w:p>
    <w:p>
      <w:pPr>
        <w:spacing w:line="560" w:lineRule="exact"/>
        <w:ind w:firstLine="643" w:firstLineChars="200"/>
        <w:rPr>
          <w:rFonts w:ascii="楷体" w:hAnsi="楷体" w:eastAsia="楷体" w:cs="宋体"/>
          <w:b/>
          <w:color w:val="auto"/>
          <w:sz w:val="32"/>
          <w:szCs w:val="32"/>
          <w:highlight w:val="none"/>
        </w:rPr>
      </w:pPr>
      <w:r>
        <w:rPr>
          <w:rFonts w:hint="eastAsia" w:ascii="楷体" w:hAnsi="楷体" w:eastAsia="楷体" w:cs="宋体"/>
          <w:b/>
          <w:color w:val="auto"/>
          <w:sz w:val="32"/>
          <w:szCs w:val="32"/>
          <w:highlight w:val="none"/>
        </w:rPr>
        <w:t>（四）项目效益情况</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spacing w:line="560" w:lineRule="exact"/>
        <w:ind w:firstLine="640" w:firstLineChars="200"/>
        <w:rPr>
          <w:rFonts w:hint="eastAsia" w:ascii="仿宋_GB2312"/>
          <w:color w:val="auto"/>
          <w:sz w:val="32"/>
          <w:szCs w:val="32"/>
          <w:highlight w:val="none"/>
        </w:rPr>
      </w:pPr>
      <w:r>
        <w:rPr>
          <w:rFonts w:hint="eastAsia" w:ascii="仿宋_GB2312" w:hAnsi="仿宋" w:cs="宋体"/>
          <w:bCs/>
          <w:color w:val="auto"/>
          <w:sz w:val="32"/>
          <w:szCs w:val="32"/>
          <w:highlight w:val="none"/>
          <w:lang w:val="en-US" w:eastAsia="zh-CN"/>
        </w:rPr>
        <w:t>无。</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spacing w:line="560" w:lineRule="exact"/>
        <w:ind w:firstLine="640" w:firstLineChars="200"/>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指标为保障培训工作正常进行，预期指标值是有效保障，实际完成值是有效保障，指标达到预期目标。</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spacing w:line="560" w:lineRule="exact"/>
        <w:ind w:firstLine="640" w:firstLineChars="200"/>
        <w:rPr>
          <w:rFonts w:hint="eastAsia" w:ascii="仿宋_GB2312"/>
          <w:color w:val="auto"/>
          <w:sz w:val="32"/>
          <w:szCs w:val="32"/>
          <w:highlight w:val="none"/>
        </w:rPr>
      </w:pPr>
      <w:r>
        <w:rPr>
          <w:rFonts w:hint="eastAsia" w:ascii="仿宋_GB2312" w:hAnsi="仿宋" w:cs="宋体"/>
          <w:bCs/>
          <w:color w:val="auto"/>
          <w:sz w:val="32"/>
          <w:szCs w:val="32"/>
          <w:highlight w:val="none"/>
          <w:lang w:val="en-US" w:eastAsia="zh-CN"/>
        </w:rPr>
        <w:t>无。</w:t>
      </w:r>
    </w:p>
    <w:p>
      <w:pPr>
        <w:keepNext w:val="0"/>
        <w:keepLines w:val="0"/>
        <w:pageBreakBefore w:val="0"/>
        <w:widowControl w:val="0"/>
        <w:kinsoku/>
        <w:wordWrap/>
        <w:overflowPunct/>
        <w:topLinePunct w:val="0"/>
        <w:autoSpaceDE/>
        <w:bidi w:val="0"/>
        <w:adjustRightInd/>
        <w:snapToGrid/>
        <w:spacing w:line="560" w:lineRule="exact"/>
        <w:ind w:firstLine="643" w:firstLineChars="200"/>
        <w:contextualSpacing/>
        <w:textAlignment w:val="auto"/>
        <w:rPr>
          <w:rFonts w:hint="eastAsia" w:ascii="楷体" w:hAnsi="楷体" w:eastAsia="楷体" w:cs="宋体"/>
          <w:b/>
          <w:color w:val="auto"/>
          <w:sz w:val="32"/>
          <w:szCs w:val="32"/>
          <w:highlight w:val="none"/>
        </w:rPr>
      </w:pP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lang w:val="en-US" w:eastAsia="zh-CN"/>
        </w:rPr>
        <w:t>五</w:t>
      </w: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rPr>
        <w:t>满意度指标完成情况分析</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满意度指标为培训人员满意度，预期指标值是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spacing w:before="0" w:beforeAutospacing="0" w:after="0" w:afterAutospacing="0" w:line="560" w:lineRule="exact"/>
        <w:ind w:firstLine="640" w:firstLineChars="200"/>
        <w:jc w:val="both"/>
        <w:rPr>
          <w:rFonts w:ascii="黑体" w:hAnsi="黑体" w:eastAsia="黑体" w:cs="仿宋_GB2312"/>
          <w:b w:val="0"/>
          <w:bCs w:val="0"/>
          <w:color w:val="auto"/>
          <w:kern w:val="2"/>
          <w:sz w:val="32"/>
          <w:szCs w:val="32"/>
          <w:highlight w:val="none"/>
        </w:rPr>
      </w:pPr>
      <w:r>
        <w:rPr>
          <w:rFonts w:hint="default" w:ascii="黑体" w:hAnsi="黑体" w:eastAsia="黑体" w:cs="仿宋_GB2312"/>
          <w:b w:val="0"/>
          <w:bCs w:val="0"/>
          <w:color w:val="auto"/>
          <w:kern w:val="2"/>
          <w:sz w:val="32"/>
          <w:szCs w:val="32"/>
          <w:highlight w:val="none"/>
        </w:rPr>
        <w:t>五、主要经验及做法、存在的问题及原因分析</w:t>
      </w:r>
    </w:p>
    <w:p>
      <w:pPr>
        <w:spacing w:line="560" w:lineRule="exact"/>
        <w:ind w:firstLine="643" w:firstLineChars="200"/>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3"/>
        <w:keepNext w:val="0"/>
        <w:keepLines w:val="0"/>
        <w:numPr>
          <w:ilvl w:val="0"/>
          <w:numId w:val="0"/>
        </w:numPr>
        <w:spacing w:before="0" w:after="0" w:line="560" w:lineRule="exact"/>
        <w:ind w:firstLine="640" w:firstLineChars="200"/>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因素分析法、最低成本法使项目取得了良好的效果。</w:t>
      </w:r>
    </w:p>
    <w:p>
      <w:pPr>
        <w:spacing w:line="560" w:lineRule="exact"/>
        <w:ind w:firstLine="643" w:firstLineChars="200"/>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spacing w:line="560" w:lineRule="exact"/>
        <w:ind w:firstLine="640" w:firstLineChars="200"/>
        <w:rPr>
          <w:rFonts w:hint="eastAsia" w:ascii="楷体" w:hAnsi="楷体" w:eastAsia="楷体"/>
          <w:color w:val="auto"/>
          <w:sz w:val="32"/>
          <w:szCs w:val="32"/>
          <w:highlight w:val="none"/>
        </w:rPr>
      </w:pPr>
      <w:r>
        <w:rPr>
          <w:rFonts w:hint="eastAsia"/>
          <w:color w:val="auto"/>
          <w:sz w:val="32"/>
          <w:highlight w:val="none"/>
        </w:rPr>
        <w:t>本项目全年预算数</w:t>
      </w:r>
      <w:r>
        <w:rPr>
          <w:rFonts w:hint="eastAsia"/>
          <w:color w:val="auto"/>
          <w:sz w:val="32"/>
          <w:highlight w:val="none"/>
          <w:lang w:val="en-US" w:eastAsia="zh-CN"/>
        </w:rPr>
        <w:t>350</w:t>
      </w:r>
      <w:r>
        <w:rPr>
          <w:rFonts w:hint="eastAsia"/>
          <w:color w:val="auto"/>
          <w:sz w:val="32"/>
          <w:highlight w:val="none"/>
        </w:rPr>
        <w:t>万元，执行数</w:t>
      </w:r>
      <w:r>
        <w:rPr>
          <w:rFonts w:hint="eastAsia"/>
          <w:color w:val="auto"/>
          <w:sz w:val="32"/>
          <w:highlight w:val="none"/>
          <w:lang w:val="en-US" w:eastAsia="zh-CN"/>
        </w:rPr>
        <w:t>105.68</w:t>
      </w:r>
      <w:r>
        <w:rPr>
          <w:rFonts w:hint="eastAsia"/>
          <w:color w:val="auto"/>
          <w:sz w:val="32"/>
          <w:highlight w:val="none"/>
        </w:rPr>
        <w:t>万元，执行率</w:t>
      </w:r>
      <w:r>
        <w:rPr>
          <w:rFonts w:hint="eastAsia"/>
          <w:color w:val="auto"/>
          <w:sz w:val="32"/>
          <w:highlight w:val="none"/>
          <w:lang w:val="en-US" w:eastAsia="zh-CN"/>
        </w:rPr>
        <w:t>30.2</w:t>
      </w:r>
      <w:r>
        <w:rPr>
          <w:rFonts w:hint="eastAsia"/>
          <w:color w:val="auto"/>
          <w:sz w:val="32"/>
          <w:highlight w:val="none"/>
        </w:rPr>
        <w:t>%，绩效指标完成率</w:t>
      </w:r>
      <w:r>
        <w:rPr>
          <w:rFonts w:hint="eastAsia"/>
          <w:color w:val="auto"/>
          <w:sz w:val="32"/>
          <w:highlight w:val="none"/>
          <w:lang w:val="en-US" w:eastAsia="zh-CN"/>
        </w:rPr>
        <w:t>89.1</w:t>
      </w:r>
      <w:r>
        <w:rPr>
          <w:rFonts w:hint="eastAsia"/>
          <w:color w:val="auto"/>
          <w:sz w:val="32"/>
          <w:highlight w:val="none"/>
        </w:rPr>
        <w:t>%，偏差率</w:t>
      </w:r>
      <w:r>
        <w:rPr>
          <w:rFonts w:hint="eastAsia"/>
          <w:color w:val="auto"/>
          <w:sz w:val="32"/>
          <w:highlight w:val="none"/>
          <w:lang w:val="en-US" w:eastAsia="zh-CN"/>
        </w:rPr>
        <w:t>58.9</w:t>
      </w:r>
      <w:r>
        <w:rPr>
          <w:rFonts w:hint="eastAsia"/>
          <w:color w:val="auto"/>
          <w:sz w:val="32"/>
          <w:highlight w:val="none"/>
        </w:rPr>
        <w:t>%。偏差原因：第三方机构未及时提供支出资料，未能按时支出。</w:t>
      </w:r>
    </w:p>
    <w:p>
      <w:pPr>
        <w:pStyle w:val="33"/>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六、有关建议</w:t>
      </w:r>
    </w:p>
    <w:p>
      <w:pPr>
        <w:pStyle w:val="32"/>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2"/>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开展进度的跟踪，确保项目绩效目标的完成。规范程序，严格把关。进一步完善项目申报、审核、公示、审批等程序，严格做好项目信息公开，公开内容要及时、完整、真实，确保项目公平、公开、公正。</w:t>
      </w:r>
    </w:p>
    <w:p>
      <w:pPr>
        <w:pStyle w:val="32"/>
        <w:keepNext w:val="0"/>
        <w:keepLines w:val="0"/>
        <w:spacing w:before="0" w:after="0" w:line="560" w:lineRule="exact"/>
        <w:ind w:firstLine="640"/>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健全制度，加强督促。针对项目实施中存在的问题，进一步完善相关制度，加强督促检查，同时及时完善资料。</w:t>
      </w:r>
    </w:p>
    <w:p>
      <w:pPr>
        <w:pStyle w:val="33"/>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七、其他需要说明的问题</w:t>
      </w:r>
    </w:p>
    <w:p>
      <w:pPr>
        <w:pStyle w:val="32"/>
        <w:keepNext w:val="0"/>
        <w:keepLines w:val="0"/>
        <w:spacing w:before="0" w:after="0" w:line="560" w:lineRule="exact"/>
        <w:ind w:firstLine="640"/>
        <w:rPr>
          <w:rFonts w:hint="eastAsia" w:ascii="仿宋_GB2312" w:hAnsi="仿宋_GB2312" w:cs="仿宋_GB2312"/>
          <w:color w:val="auto"/>
          <w:sz w:val="32"/>
          <w:szCs w:val="32"/>
          <w:highlight w:val="none"/>
        </w:rPr>
      </w:pPr>
      <w:r>
        <w:rPr>
          <w:rFonts w:hint="eastAsia" w:ascii="仿宋_GB2312" w:hAnsi="仿宋" w:eastAsia="仿宋_GB2312" w:cs="宋体"/>
          <w:b w:val="0"/>
          <w:color w:val="auto"/>
          <w:kern w:val="2"/>
          <w:highlight w:val="none"/>
          <w:lang w:val="en-US" w:eastAsia="zh-CN"/>
        </w:rPr>
        <w:t>无。</w:t>
      </w: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1.51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4.67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w:t>
            </w:r>
            <w:bookmarkStart w:id="0" w:name="_GoBack"/>
            <w:bookmarkEnd w:id="0"/>
            <w:r>
              <w:rPr>
                <w:rFonts w:hint="eastAsia" w:ascii="仿宋_GB2312" w:hAnsi="仿宋_GB2312" w:cs="仿宋_GB2312"/>
                <w:color w:val="auto"/>
                <w:kern w:val="0"/>
                <w:sz w:val="24"/>
                <w:highlight w:val="none"/>
              </w:rPr>
              <w:t>益</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94.18</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CBCF21"/>
    <w:multiLevelType w:val="multilevel"/>
    <w:tmpl w:val="68CBCF21"/>
    <w:lvl w:ilvl="0" w:tentative="0">
      <w:start w:val="1"/>
      <w:numFmt w:val="chineseCountingThousand"/>
      <w:pStyle w:val="3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BCF2C"/>
    <w:multiLevelType w:val="singleLevel"/>
    <w:tmpl w:val="68CBCF2C"/>
    <w:lvl w:ilvl="0" w:tentative="0">
      <w:start w:val="3"/>
      <w:numFmt w:val="decimal"/>
      <w:suff w:val="nothing"/>
      <w:lvlText w:val="%1．"/>
      <w:lvlJc w:val="left"/>
      <w:rPr>
        <w:rFonts w:hint="default"/>
        <w:b/>
        <w:bCs/>
        <w:color w:val="auto"/>
      </w:rPr>
    </w:lvl>
  </w:abstractNum>
  <w:abstractNum w:abstractNumId="2">
    <w:nsid w:val="68CBCF37"/>
    <w:multiLevelType w:val="singleLevel"/>
    <w:tmpl w:val="68CBCF37"/>
    <w:lvl w:ilvl="0" w:tentative="0">
      <w:start w:val="2"/>
      <w:numFmt w:val="decimal"/>
      <w:suff w:val="nothing"/>
      <w:lvlText w:val="%1．"/>
      <w:lvlJc w:val="left"/>
      <w:rPr>
        <w:rFonts w:hint="default"/>
        <w:b/>
        <w:bC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13956845"/>
    <w:rsid w:val="3FE57ED3"/>
    <w:rsid w:val="40AE1D75"/>
    <w:rsid w:val="427444A9"/>
    <w:rsid w:val="68671EE9"/>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字符"/>
    <w:link w:val="3"/>
    <w:qFormat/>
    <w:uiPriority w:val="0"/>
    <w:rPr>
      <w:rFonts w:eastAsia="仿宋_GB2312"/>
      <w:b/>
      <w:bCs/>
      <w:kern w:val="44"/>
      <w:sz w:val="44"/>
      <w:szCs w:val="44"/>
    </w:rPr>
  </w:style>
  <w:style w:type="character" w:customStyle="1" w:styleId="18">
    <w:name w:val="标题 2 字符"/>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Body text|1_"/>
    <w:link w:val="27"/>
    <w:uiPriority w:val="0"/>
    <w:rPr>
      <w:rFonts w:ascii="宋体" w:hAnsi="宋体" w:cs="宋体"/>
      <w:kern w:val="2"/>
      <w:sz w:val="30"/>
      <w:szCs w:val="30"/>
      <w:lang w:val="zh-TW" w:eastAsia="zh-TW" w:bidi="zh-TW"/>
    </w:rPr>
  </w:style>
  <w:style w:type="paragraph" w:customStyle="1" w:styleId="27">
    <w:name w:val="Body text|1"/>
    <w:basedOn w:val="1"/>
    <w:link w:val="26"/>
    <w:qFormat/>
    <w:uiPriority w:val="0"/>
    <w:pPr>
      <w:spacing w:line="420" w:lineRule="auto"/>
      <w:ind w:firstLine="400"/>
    </w:pPr>
    <w:rPr>
      <w:rFonts w:ascii="宋体" w:hAnsi="宋体" w:eastAsia="宋体" w:cs="宋体"/>
      <w:szCs w:val="30"/>
      <w:lang w:val="zh-TW" w:eastAsia="zh-TW" w:bidi="zh-TW"/>
    </w:rPr>
  </w:style>
  <w:style w:type="character" w:customStyle="1" w:styleId="28">
    <w:name w:val="闻政-正文三级标题 Char"/>
    <w:link w:val="29"/>
    <w:uiPriority w:val="3"/>
    <w:rPr>
      <w:rFonts w:eastAsia="仿宋_GB2312"/>
      <w:b/>
      <w:snapToGrid w:val="0"/>
      <w:sz w:val="28"/>
      <w:szCs w:val="28"/>
    </w:rPr>
  </w:style>
  <w:style w:type="paragraph" w:customStyle="1" w:styleId="29">
    <w:name w:val="闻政-正文三级标题"/>
    <w:basedOn w:val="1"/>
    <w:next w:val="1"/>
    <w:link w:val="28"/>
    <w:qFormat/>
    <w:uiPriority w:val="3"/>
    <w:pPr>
      <w:widowControl/>
      <w:spacing w:before="120" w:after="60" w:line="500" w:lineRule="exact"/>
      <w:ind w:left="200" w:leftChars="200"/>
    </w:pPr>
    <w:rPr>
      <w:b/>
      <w:snapToGrid w:val="0"/>
      <w:kern w:val="0"/>
      <w:sz w:val="28"/>
      <w:szCs w:val="28"/>
    </w:rPr>
  </w:style>
  <w:style w:type="paragraph" w:customStyle="1" w:styleId="30">
    <w:name w:val="List Paragraph"/>
    <w:basedOn w:val="1"/>
    <w:qFormat/>
    <w:uiPriority w:val="34"/>
    <w:pPr>
      <w:ind w:firstLine="420" w:firstLineChars="200"/>
    </w:pPr>
    <w:rPr>
      <w:rFonts w:ascii="Calibri" w:hAnsi="Calibri" w:eastAsia="宋体" w:cs="Times New Roman"/>
      <w:sz w:val="21"/>
      <w:szCs w:val="21"/>
    </w:rPr>
  </w:style>
  <w:style w:type="paragraph" w:customStyle="1" w:styleId="31">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2">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3">
    <w:name w:val="标题2"/>
    <w:basedOn w:val="4"/>
    <w:qFormat/>
    <w:uiPriority w:val="0"/>
    <w:pPr>
      <w:numPr>
        <w:ilvl w:val="0"/>
        <w:numId w:val="1"/>
      </w:numPr>
      <w:spacing w:before="120" w:after="120" w:line="500" w:lineRule="exact"/>
    </w:pPr>
    <w:rPr>
      <w:rFonts w:ascii="仿宋_GB2312"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6A85D4AA584A4628B60CE1D0287247AD_13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c3c20410-cab2-447d-846f-cba597344925}">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21</Pages>
  <Words>1419</Words>
  <Characters>8090</Characters>
  <Lines>67</Lines>
  <Paragraphs>18</Paragraphs>
  <TotalTime>10</TotalTime>
  <ScaleCrop>false</ScaleCrop>
  <LinksUpToDate>false</LinksUpToDate>
  <CharactersWithSpaces>9491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2025-09-30T12:42:02Z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6A85D4AA584A4628B60CE1D0287247AD_13</vt:lpwstr>
  </property>
  <property fmtid="{D5CDD505-2E9C-101B-9397-08002B2CF9AE}" pid="4" name="KSOTemplateDocerSaveRecord">
    <vt:lpwstr>eyJoZGlkIjoiYzZkNzQ4ZWFiZmQ4NTRhOWRkZTk3YTMwMjlmMmZhYmUiLCJ1c2VySWQiOiI1NzgxMjU4NDIifQ_x003D__x003D_</vt:lpwstr>
  </property>
</Properties>
</file>