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阿图什市特殊教育学校2024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4412C6">
      <w:r>
        <w:br w:type="page"/>
      </w:r>
    </w:p>
    <w:p w14:paraId="5BE231B6">
      <w:pPr>
        <w:spacing w:line="640" w:lineRule="exact"/>
        <w:jc w:val="center"/>
        <w:outlineLvl w:val="1"/>
      </w:pPr>
      <w:r>
        <w:rPr>
          <w:rFonts w:ascii="黑体" w:hAnsi="黑体" w:eastAsia="黑体"/>
          <w:sz w:val="32"/>
        </w:rPr>
        <w:t>第一部分 单位概况</w:t>
      </w:r>
    </w:p>
    <w:p w14:paraId="63ACF7EE">
      <w:pPr>
        <w:spacing w:line="640" w:lineRule="exact"/>
        <w:ind w:firstLine="640"/>
        <w:jc w:val="both"/>
        <w:outlineLvl w:val="2"/>
      </w:pPr>
      <w:r>
        <w:rPr>
          <w:rFonts w:ascii="黑体" w:hAnsi="黑体" w:eastAsia="黑体"/>
          <w:sz w:val="32"/>
        </w:rPr>
        <w:t>一、主要职能</w:t>
      </w:r>
    </w:p>
    <w:p w14:paraId="40D25140">
      <w:pPr>
        <w:spacing w:line="580" w:lineRule="exact"/>
        <w:ind w:firstLine="640"/>
        <w:jc w:val="both"/>
      </w:pPr>
      <w:r>
        <w:rPr>
          <w:rFonts w:ascii="仿宋_GB2312" w:hAnsi="仿宋_GB2312" w:eastAsia="仿宋_GB2312"/>
          <w:sz w:val="32"/>
        </w:rPr>
        <w:t>以精细化管理为抓手，以深化改革为动力，以教育局教育工作会议精神为指引，进一步推进特殊教育工作，以学校工作为本，以教师工作为主，以让特殊需要的学生适应社会生活为目标，为特殊需要的学生创设良好的学习生活环境，</w:t>
      </w:r>
      <w:r>
        <w:rPr>
          <w:rFonts w:hint="eastAsia" w:ascii="仿宋_GB2312" w:hAnsi="仿宋_GB2312" w:eastAsia="仿宋_GB2312"/>
          <w:sz w:val="32"/>
          <w:lang w:eastAsia="zh-CN"/>
        </w:rPr>
        <w:t>使他们受到</w:t>
      </w:r>
      <w:r>
        <w:rPr>
          <w:rFonts w:ascii="仿宋_GB2312" w:hAnsi="仿宋_GB2312" w:eastAsia="仿宋_GB2312"/>
          <w:sz w:val="32"/>
        </w:rPr>
        <w:t>平等的教育，</w:t>
      </w:r>
      <w:r>
        <w:rPr>
          <w:rFonts w:hint="eastAsia" w:ascii="仿宋_GB2312" w:hAnsi="仿宋_GB2312" w:eastAsia="仿宋_GB2312"/>
          <w:sz w:val="32"/>
          <w:lang w:eastAsia="zh-CN"/>
        </w:rPr>
        <w:t>为他们将来</w:t>
      </w:r>
      <w:r>
        <w:rPr>
          <w:rFonts w:ascii="仿宋_GB2312" w:hAnsi="仿宋_GB2312" w:eastAsia="仿宋_GB2312"/>
          <w:sz w:val="32"/>
        </w:rPr>
        <w:t>走上社会做个自食其力的合格公民做出不懈努力。</w:t>
      </w:r>
    </w:p>
    <w:p w14:paraId="07E64630">
      <w:pPr>
        <w:spacing w:line="640" w:lineRule="exact"/>
        <w:ind w:firstLine="640"/>
        <w:jc w:val="both"/>
        <w:outlineLvl w:val="2"/>
      </w:pPr>
      <w:r>
        <w:rPr>
          <w:rFonts w:ascii="黑体" w:hAnsi="黑体" w:eastAsia="黑体"/>
          <w:sz w:val="32"/>
        </w:rPr>
        <w:t>二、机构设置及人员情况</w:t>
      </w:r>
    </w:p>
    <w:p w14:paraId="4510DD57">
      <w:pPr>
        <w:spacing w:line="580" w:lineRule="exact"/>
        <w:ind w:firstLine="640"/>
        <w:jc w:val="both"/>
      </w:pPr>
      <w:r>
        <w:rPr>
          <w:rFonts w:ascii="仿宋_GB2312" w:hAnsi="仿宋_GB2312" w:eastAsia="仿宋_GB2312"/>
          <w:sz w:val="32"/>
        </w:rPr>
        <w:t>阿图什市特殊教育学校2024年度，实有人数43人，其中：在职人员43人，减少1人；离休人员0人，增加0人；退休人员0人,增加0人。</w:t>
      </w:r>
    </w:p>
    <w:p w14:paraId="1A39A5D2">
      <w:pPr>
        <w:spacing w:line="580" w:lineRule="exact"/>
        <w:ind w:firstLine="640"/>
        <w:jc w:val="both"/>
      </w:pPr>
      <w:r>
        <w:rPr>
          <w:rFonts w:ascii="仿宋_GB2312" w:hAnsi="仿宋_GB2312" w:eastAsia="仿宋_GB2312"/>
          <w:sz w:val="32"/>
        </w:rPr>
        <w:t>阿图什市特殊教育学校无下属预算单位，下设6个科室，分别是：办公室、党建室、财务室、教导处、德育室、校安办。</w:t>
      </w:r>
    </w:p>
    <w:p w14:paraId="3599C567">
      <w:r>
        <w:br w:type="page"/>
      </w:r>
    </w:p>
    <w:p w14:paraId="5B4CC422">
      <w:pPr>
        <w:spacing w:line="240" w:lineRule="auto"/>
        <w:jc w:val="center"/>
        <w:outlineLvl w:val="1"/>
      </w:pPr>
      <w:r>
        <w:rPr>
          <w:rFonts w:ascii="黑体" w:hAnsi="黑体" w:eastAsia="黑体"/>
          <w:sz w:val="32"/>
        </w:rPr>
        <w:t>第二部分 部门决算情况说明</w:t>
      </w:r>
    </w:p>
    <w:p w14:paraId="1F03141E">
      <w:pPr>
        <w:spacing w:line="640" w:lineRule="exact"/>
        <w:ind w:firstLine="640"/>
        <w:jc w:val="both"/>
        <w:outlineLvl w:val="2"/>
      </w:pPr>
      <w:r>
        <w:rPr>
          <w:rFonts w:ascii="黑体" w:hAnsi="黑体" w:eastAsia="黑体"/>
          <w:sz w:val="32"/>
        </w:rPr>
        <w:t>一、收入支出决算总体情况说明</w:t>
      </w:r>
    </w:p>
    <w:p w14:paraId="7857B473">
      <w:pPr>
        <w:spacing w:line="580" w:lineRule="exact"/>
        <w:ind w:firstLine="640"/>
        <w:jc w:val="both"/>
      </w:pPr>
      <w:r>
        <w:rPr>
          <w:rFonts w:ascii="仿宋_GB2312" w:hAnsi="仿宋_GB2312" w:eastAsia="仿宋_GB2312"/>
          <w:b/>
          <w:sz w:val="32"/>
        </w:rPr>
        <w:t>2024年度收入总计979.45万元，</w:t>
      </w:r>
      <w:r>
        <w:rPr>
          <w:rFonts w:ascii="仿宋_GB2312" w:hAnsi="仿宋_GB2312" w:eastAsia="仿宋_GB2312"/>
          <w:b w:val="0"/>
          <w:sz w:val="32"/>
        </w:rPr>
        <w:t>其中：本年收入合计938.59万元，使用非财政拨款结余（含专用结余）0.00万元，年初结转和结余40.85万元。</w:t>
      </w:r>
    </w:p>
    <w:p w14:paraId="3851DF09">
      <w:pPr>
        <w:spacing w:line="580" w:lineRule="exact"/>
        <w:ind w:firstLine="640"/>
        <w:jc w:val="both"/>
      </w:pPr>
      <w:r>
        <w:rPr>
          <w:rFonts w:ascii="仿宋_GB2312" w:hAnsi="仿宋_GB2312" w:eastAsia="仿宋_GB2312"/>
          <w:b/>
          <w:sz w:val="32"/>
        </w:rPr>
        <w:t>2024年度支出总计979.45万元，</w:t>
      </w:r>
      <w:r>
        <w:rPr>
          <w:rFonts w:ascii="仿宋_GB2312" w:hAnsi="仿宋_GB2312" w:eastAsia="仿宋_GB2312"/>
          <w:b w:val="0"/>
          <w:sz w:val="32"/>
        </w:rPr>
        <w:t>其中：本年支出合计941.98万元，结余分配0.00万元，年末结转和结余37.47万元。</w:t>
      </w:r>
    </w:p>
    <w:p w14:paraId="122EF6C2">
      <w:pPr>
        <w:spacing w:line="580" w:lineRule="exact"/>
        <w:ind w:firstLine="640"/>
        <w:jc w:val="both"/>
      </w:pPr>
      <w:r>
        <w:rPr>
          <w:rFonts w:ascii="仿宋_GB2312" w:hAnsi="仿宋_GB2312" w:eastAsia="仿宋_GB2312"/>
          <w:b w:val="0"/>
          <w:sz w:val="32"/>
        </w:rPr>
        <w:t>收入支出总体与上年相比，增加79.38万元，增长8.82%，主要原因是：本年在职人员工资调增、社保、公积金基数调增，人员经费增加。本年增加援疆经费用于支付维修学校大棚款、培训费用于</w:t>
      </w:r>
      <w:r>
        <w:rPr>
          <w:rFonts w:hint="eastAsia" w:ascii="仿宋_GB2312" w:hAnsi="仿宋_GB2312" w:eastAsia="仿宋_GB2312"/>
          <w:b w:val="0"/>
          <w:sz w:val="32"/>
          <w:lang w:eastAsia="zh-CN"/>
        </w:rPr>
        <w:t>教师</w:t>
      </w:r>
      <w:r>
        <w:rPr>
          <w:rFonts w:ascii="仿宋_GB2312" w:hAnsi="仿宋_GB2312" w:eastAsia="仿宋_GB2312"/>
          <w:b w:val="0"/>
          <w:sz w:val="32"/>
        </w:rPr>
        <w:t>跟岗培训、用于学校物资采购的捐款、援疆经费用于学校</w:t>
      </w:r>
      <w:r>
        <w:rPr>
          <w:rFonts w:hint="eastAsia" w:ascii="仿宋_GB2312" w:hAnsi="仿宋_GB2312" w:eastAsia="仿宋_GB2312"/>
          <w:b w:val="0"/>
          <w:sz w:val="32"/>
          <w:lang w:eastAsia="zh-CN"/>
        </w:rPr>
        <w:t>日常</w:t>
      </w:r>
      <w:r>
        <w:rPr>
          <w:rFonts w:ascii="仿宋_GB2312" w:hAnsi="仿宋_GB2312" w:eastAsia="仿宋_GB2312"/>
          <w:b w:val="0"/>
          <w:sz w:val="32"/>
        </w:rPr>
        <w:t>开支、修缮。</w:t>
      </w:r>
    </w:p>
    <w:p w14:paraId="07B4FE48">
      <w:pPr>
        <w:spacing w:line="640" w:lineRule="exact"/>
        <w:ind w:firstLine="640"/>
        <w:jc w:val="both"/>
        <w:outlineLvl w:val="2"/>
      </w:pPr>
      <w:r>
        <w:rPr>
          <w:rFonts w:ascii="黑体" w:hAnsi="黑体" w:eastAsia="黑体"/>
          <w:sz w:val="32"/>
        </w:rPr>
        <w:t>二、收入决算情况说明</w:t>
      </w:r>
    </w:p>
    <w:p w14:paraId="30998C69">
      <w:pPr>
        <w:spacing w:line="580" w:lineRule="exact"/>
        <w:ind w:firstLine="640"/>
        <w:jc w:val="both"/>
      </w:pPr>
      <w:r>
        <w:rPr>
          <w:rFonts w:ascii="仿宋_GB2312" w:hAnsi="仿宋_GB2312" w:eastAsia="仿宋_GB2312"/>
          <w:b/>
          <w:sz w:val="32"/>
        </w:rPr>
        <w:t>本年收入938.59万元，</w:t>
      </w:r>
      <w:r>
        <w:rPr>
          <w:rFonts w:ascii="仿宋_GB2312" w:hAnsi="仿宋_GB2312" w:eastAsia="仿宋_GB2312"/>
          <w:b w:val="0"/>
          <w:sz w:val="32"/>
        </w:rPr>
        <w:t>其中：财政拨款收入874.18万元，占93.14%；上级补助收入0.00万元，占0.00%；事业收入0.00万元，占0.00%；经营收入0.00万元，占0.00%；附属单位上缴收入0.00万元，占0.00%；其他收入64.41万元，占6.86%。</w:t>
      </w:r>
    </w:p>
    <w:p w14:paraId="01EA29D2">
      <w:pPr>
        <w:spacing w:line="640" w:lineRule="exact"/>
        <w:ind w:firstLine="640"/>
        <w:jc w:val="both"/>
        <w:outlineLvl w:val="2"/>
      </w:pPr>
      <w:r>
        <w:rPr>
          <w:rFonts w:ascii="黑体" w:hAnsi="黑体" w:eastAsia="黑体"/>
          <w:sz w:val="32"/>
        </w:rPr>
        <w:t>三、支出决算情况说明</w:t>
      </w:r>
    </w:p>
    <w:p w14:paraId="313AA816">
      <w:pPr>
        <w:spacing w:line="580" w:lineRule="exact"/>
        <w:ind w:firstLine="640"/>
        <w:jc w:val="both"/>
      </w:pPr>
      <w:r>
        <w:rPr>
          <w:rFonts w:ascii="仿宋_GB2312" w:hAnsi="仿宋_GB2312" w:eastAsia="仿宋_GB2312"/>
          <w:b/>
          <w:sz w:val="32"/>
        </w:rPr>
        <w:t>本年支出941.98万元，</w:t>
      </w:r>
      <w:r>
        <w:rPr>
          <w:rFonts w:ascii="仿宋_GB2312" w:hAnsi="仿宋_GB2312" w:eastAsia="仿宋_GB2312"/>
          <w:b w:val="0"/>
          <w:sz w:val="32"/>
        </w:rPr>
        <w:t>其中：基本支出755.56万元，占80.21%；项目支出186.43万元，占19.79%；上缴上级支出0.00万元，占0.00%；经营支出0.00万元，占0.00%；对附属单位补助支出0.00万元，占0.00%。</w:t>
      </w:r>
    </w:p>
    <w:p w14:paraId="12E66834">
      <w:pPr>
        <w:spacing w:line="640" w:lineRule="exact"/>
        <w:ind w:firstLine="640"/>
        <w:jc w:val="both"/>
        <w:outlineLvl w:val="2"/>
      </w:pPr>
      <w:r>
        <w:rPr>
          <w:rFonts w:ascii="黑体" w:hAnsi="黑体" w:eastAsia="黑体"/>
          <w:sz w:val="32"/>
        </w:rPr>
        <w:t>四、财政拨款收入支出决算总体情况说明</w:t>
      </w:r>
    </w:p>
    <w:p w14:paraId="288127DD">
      <w:pPr>
        <w:spacing w:line="580" w:lineRule="exact"/>
        <w:ind w:firstLine="640"/>
        <w:jc w:val="both"/>
      </w:pPr>
      <w:r>
        <w:rPr>
          <w:rFonts w:ascii="仿宋_GB2312" w:hAnsi="仿宋_GB2312" w:eastAsia="仿宋_GB2312"/>
          <w:b/>
          <w:sz w:val="32"/>
        </w:rPr>
        <w:t>2024年度财政拨款收入总计874.18万元，</w:t>
      </w:r>
      <w:r>
        <w:rPr>
          <w:rFonts w:ascii="仿宋_GB2312" w:hAnsi="仿宋_GB2312" w:eastAsia="仿宋_GB2312"/>
          <w:b w:val="0"/>
          <w:sz w:val="32"/>
        </w:rPr>
        <w:t>其中：年初财政拨款结转和结余0.00万元，本年财政拨款收入874.18万元。</w:t>
      </w:r>
      <w:r>
        <w:rPr>
          <w:rFonts w:ascii="仿宋_GB2312" w:hAnsi="仿宋_GB2312" w:eastAsia="仿宋_GB2312"/>
          <w:b/>
          <w:sz w:val="32"/>
        </w:rPr>
        <w:t>财政拨款支出总计874.18万元，</w:t>
      </w:r>
      <w:r>
        <w:rPr>
          <w:rFonts w:ascii="仿宋_GB2312" w:hAnsi="仿宋_GB2312" w:eastAsia="仿宋_GB2312"/>
          <w:b w:val="0"/>
          <w:sz w:val="32"/>
        </w:rPr>
        <w:t>其中：年末财政拨款结转和结余0.00万元，本年财政拨款支出874.18万元。</w:t>
      </w:r>
    </w:p>
    <w:p w14:paraId="78801E4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增加16.18万元，增长1.89%，主要原因是：本年在职人员工资调增、社保、公积金基数调增，人员经费增加。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年初预算数835.64万元，决算数874.18万元，预决算差异率4.61%，主要原因是：年中追加人员工资、社保、公积金基数调增部分资金，导致预决算存在差异。</w:t>
      </w:r>
    </w:p>
    <w:p w14:paraId="5DA4419E">
      <w:pPr>
        <w:spacing w:line="640" w:lineRule="exact"/>
        <w:ind w:firstLine="640"/>
        <w:jc w:val="both"/>
        <w:outlineLvl w:val="2"/>
      </w:pPr>
      <w:r>
        <w:rPr>
          <w:rFonts w:ascii="黑体" w:hAnsi="黑体" w:eastAsia="黑体"/>
          <w:sz w:val="32"/>
        </w:rPr>
        <w:t>五、一般公共预算财政拨款支出决算情况说明</w:t>
      </w:r>
    </w:p>
    <w:p w14:paraId="40AD0187">
      <w:pPr>
        <w:spacing w:line="640" w:lineRule="exact"/>
        <w:ind w:firstLine="640"/>
        <w:jc w:val="both"/>
        <w:outlineLvl w:val="3"/>
      </w:pPr>
      <w:r>
        <w:rPr>
          <w:rFonts w:ascii="楷体_GB2312" w:hAnsi="楷体_GB2312" w:eastAsia="楷体_GB2312"/>
          <w:b/>
          <w:sz w:val="32"/>
        </w:rPr>
        <w:t>（一）一般公共预算财政拨款支出决算总体情况</w:t>
      </w:r>
    </w:p>
    <w:p w14:paraId="5698A9C0">
      <w:pPr>
        <w:spacing w:line="580" w:lineRule="exact"/>
        <w:ind w:firstLine="640"/>
        <w:jc w:val="both"/>
      </w:pPr>
      <w:r>
        <w:rPr>
          <w:rFonts w:ascii="仿宋_GB2312" w:hAnsi="仿宋_GB2312" w:eastAsia="仿宋_GB2312"/>
          <w:b/>
          <w:sz w:val="32"/>
        </w:rPr>
        <w:t>2024年度一般公共预算财政拨款支出859.43万元，</w:t>
      </w:r>
      <w:r>
        <w:rPr>
          <w:rFonts w:ascii="仿宋_GB2312" w:hAnsi="仿宋_GB2312" w:eastAsia="仿宋_GB2312"/>
          <w:b w:val="0"/>
          <w:sz w:val="32"/>
        </w:rPr>
        <w:t>占本年支出合计的91.24%。</w:t>
      </w:r>
      <w:r>
        <w:rPr>
          <w:rFonts w:ascii="仿宋_GB2312" w:hAnsi="仿宋_GB2312" w:eastAsia="仿宋_GB2312"/>
          <w:b/>
          <w:sz w:val="32"/>
        </w:rPr>
        <w:t>与上年相比，</w:t>
      </w:r>
      <w:r>
        <w:rPr>
          <w:rFonts w:ascii="仿宋_GB2312" w:hAnsi="仿宋_GB2312" w:eastAsia="仿宋_GB2312"/>
          <w:b w:val="0"/>
          <w:sz w:val="32"/>
        </w:rPr>
        <w:t>增加1.43万元，增长0.17%，主要原因是：本年在职人员工资调增、社保、公积金基数调增，人员经费增加。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年初预算数812.64万元，决算数859.43万元，预决算差异率5.76%，主要原因是：年中追加人员工资、社保、公积金基数调增部分资金，导致预决算存在差异。</w:t>
      </w:r>
    </w:p>
    <w:p w14:paraId="46C62BEF">
      <w:pPr>
        <w:spacing w:line="640" w:lineRule="exact"/>
        <w:ind w:firstLine="640"/>
        <w:jc w:val="both"/>
        <w:outlineLvl w:val="3"/>
      </w:pPr>
      <w:r>
        <w:rPr>
          <w:rFonts w:ascii="楷体_GB2312" w:hAnsi="楷体_GB2312" w:eastAsia="楷体_GB2312"/>
          <w:b/>
          <w:sz w:val="32"/>
        </w:rPr>
        <w:t>（二）一般公共预算财政拨款支出决算结构情况</w:t>
      </w:r>
    </w:p>
    <w:p w14:paraId="2283B7E2">
      <w:pPr>
        <w:spacing w:line="580" w:lineRule="exact"/>
        <w:ind w:firstLine="640"/>
        <w:jc w:val="both"/>
      </w:pPr>
      <w:r>
        <w:rPr>
          <w:rFonts w:ascii="仿宋_GB2312" w:hAnsi="仿宋_GB2312" w:eastAsia="仿宋_GB2312"/>
          <w:b w:val="0"/>
          <w:sz w:val="32"/>
        </w:rPr>
        <w:t>1.教育支出(类)859.43万元,占100.00%。</w:t>
      </w:r>
    </w:p>
    <w:p w14:paraId="5098D825">
      <w:pPr>
        <w:spacing w:line="640" w:lineRule="exact"/>
        <w:ind w:firstLine="640"/>
        <w:jc w:val="both"/>
        <w:outlineLvl w:val="3"/>
      </w:pPr>
      <w:r>
        <w:rPr>
          <w:rFonts w:ascii="楷体_GB2312" w:hAnsi="楷体_GB2312" w:eastAsia="楷体_GB2312"/>
          <w:b/>
          <w:sz w:val="32"/>
        </w:rPr>
        <w:t>（三）一般公共预算财政拨款支出决算具体情况</w:t>
      </w:r>
    </w:p>
    <w:p w14:paraId="0ADA98BB">
      <w:pPr>
        <w:spacing w:line="580" w:lineRule="exact"/>
        <w:ind w:firstLine="640"/>
        <w:jc w:val="both"/>
      </w:pPr>
      <w:r>
        <w:rPr>
          <w:rFonts w:ascii="仿宋_GB2312" w:hAnsi="仿宋_GB2312" w:eastAsia="仿宋_GB2312"/>
          <w:b w:val="0"/>
          <w:sz w:val="32"/>
        </w:rPr>
        <w:t>1.教育支出(类)特殊教育(款)特殊学校教育(项):支出决算数为859.43万元，比上年决算增加122.28万元，增长16.59%,主要原因是：本年功能科目调整，养老保险缴费</w:t>
      </w:r>
      <w:r>
        <w:rPr>
          <w:rFonts w:hint="eastAsia" w:ascii="仿宋_GB2312" w:hAnsi="仿宋_GB2312" w:eastAsia="仿宋_GB2312"/>
          <w:b w:val="0"/>
          <w:sz w:val="32"/>
          <w:lang w:eastAsia="zh-CN"/>
        </w:rPr>
        <w:t>、</w:t>
      </w:r>
      <w:r>
        <w:rPr>
          <w:rFonts w:ascii="仿宋_GB2312" w:hAnsi="仿宋_GB2312" w:eastAsia="仿宋_GB2312"/>
          <w:b w:val="0"/>
          <w:sz w:val="32"/>
        </w:rPr>
        <w:t>住房公积金上年度单独列支，本年调整至主科目列支，导致经费较上年增加。</w:t>
      </w:r>
    </w:p>
    <w:p w14:paraId="56AC2DB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64.77万元，下降100.00%,主要原因是：本年功能科目调整，养老保险缴费上年度单独列支，本年调整至主科目列支，导致经费较上年减少。</w:t>
      </w:r>
    </w:p>
    <w:p w14:paraId="1E4ADF7C">
      <w:pPr>
        <w:spacing w:line="580" w:lineRule="exact"/>
        <w:ind w:firstLine="640"/>
        <w:jc w:val="both"/>
      </w:pPr>
      <w:r>
        <w:rPr>
          <w:rFonts w:ascii="仿宋_GB2312" w:hAnsi="仿宋_GB2312" w:eastAsia="仿宋_GB2312"/>
          <w:b w:val="0"/>
          <w:sz w:val="32"/>
        </w:rPr>
        <w:t>3.住房保障支出(类)住房改革支出(款)住房公积金(项):支出决算数为0.00万元，比上年决算减少56.08万元，下降100.00%,主要原因是：本年功能科目调整，住房公积金上年度单独列支，本年调整至主科目列支，导致经费较上年减少。</w:t>
      </w:r>
    </w:p>
    <w:p w14:paraId="37DC0F19">
      <w:pPr>
        <w:spacing w:line="640" w:lineRule="exact"/>
        <w:ind w:firstLine="640"/>
        <w:jc w:val="both"/>
        <w:outlineLvl w:val="2"/>
      </w:pPr>
      <w:r>
        <w:rPr>
          <w:rFonts w:ascii="黑体" w:hAnsi="黑体" w:eastAsia="黑体"/>
          <w:sz w:val="32"/>
        </w:rPr>
        <w:t>六、一般公共预算财政拨款基本支出决算情况说明</w:t>
      </w:r>
    </w:p>
    <w:p w14:paraId="504C65DD">
      <w:pPr>
        <w:spacing w:line="580" w:lineRule="exact"/>
        <w:ind w:firstLine="640"/>
        <w:jc w:val="both"/>
      </w:pPr>
      <w:r>
        <w:rPr>
          <w:rFonts w:ascii="仿宋_GB2312" w:hAnsi="仿宋_GB2312" w:eastAsia="仿宋_GB2312"/>
          <w:b w:val="0"/>
          <w:sz w:val="32"/>
        </w:rPr>
        <w:t>2024年度一般公共预算财政拨款基本支出755.56万元，其中：</w:t>
      </w:r>
      <w:r>
        <w:rPr>
          <w:rFonts w:ascii="仿宋_GB2312" w:hAnsi="仿宋_GB2312" w:eastAsia="仿宋_GB2312"/>
          <w:b/>
          <w:sz w:val="32"/>
        </w:rPr>
        <w:t>人员经费755.56万元，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2969073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549C3E1">
      <w:pPr>
        <w:spacing w:line="640" w:lineRule="exact"/>
        <w:ind w:firstLine="640"/>
        <w:jc w:val="both"/>
        <w:outlineLvl w:val="2"/>
      </w:pPr>
      <w:r>
        <w:rPr>
          <w:rFonts w:ascii="黑体" w:hAnsi="黑体" w:eastAsia="黑体"/>
          <w:sz w:val="32"/>
        </w:rPr>
        <w:t>七、政府性基金预算财政拨款收入支出决算情况说明</w:t>
      </w:r>
    </w:p>
    <w:p w14:paraId="4BAA4698">
      <w:pPr>
        <w:spacing w:line="580" w:lineRule="exact"/>
        <w:ind w:firstLine="640"/>
        <w:jc w:val="both"/>
      </w:pPr>
      <w:r>
        <w:rPr>
          <w:rFonts w:ascii="仿宋_GB2312" w:hAnsi="仿宋_GB2312" w:eastAsia="仿宋_GB2312"/>
          <w:b/>
          <w:sz w:val="32"/>
        </w:rPr>
        <w:t>2024年度政府性基金预算财政拨款收入总计14.75万元，</w:t>
      </w:r>
      <w:r>
        <w:rPr>
          <w:rFonts w:ascii="仿宋_GB2312" w:hAnsi="仿宋_GB2312" w:eastAsia="仿宋_GB2312"/>
          <w:b w:val="0"/>
          <w:sz w:val="32"/>
        </w:rPr>
        <w:t>其中：年初结转和结余0.00万元，本年收入14.75万元。</w:t>
      </w:r>
      <w:r>
        <w:rPr>
          <w:rFonts w:ascii="仿宋_GB2312" w:hAnsi="仿宋_GB2312" w:eastAsia="仿宋_GB2312"/>
          <w:b/>
          <w:sz w:val="32"/>
        </w:rPr>
        <w:t>政府性基金预算财政拨款支出总计14.75万元，</w:t>
      </w:r>
      <w:r>
        <w:rPr>
          <w:rFonts w:ascii="仿宋_GB2312" w:hAnsi="仿宋_GB2312" w:eastAsia="仿宋_GB2312"/>
          <w:b w:val="0"/>
          <w:sz w:val="32"/>
        </w:rPr>
        <w:t>其中：年末结转和结余0.00万元，本年支出14.75万元。</w:t>
      </w:r>
    </w:p>
    <w:p w14:paraId="7596F4E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增加14.75万元，增长100.00%，主要原因是：本年增加特殊教育学校（特教班）生活补助经费。</w:t>
      </w:r>
      <w:r>
        <w:rPr>
          <w:rFonts w:ascii="仿宋_GB2312" w:hAnsi="仿宋_GB2312" w:eastAsia="仿宋_GB2312"/>
          <w:b/>
          <w:sz w:val="32"/>
        </w:rPr>
        <w:t>与年初预算相比，</w:t>
      </w:r>
      <w:r>
        <w:rPr>
          <w:rFonts w:ascii="仿宋_GB2312" w:hAnsi="仿宋_GB2312" w:eastAsia="仿宋_GB2312"/>
          <w:b w:val="0"/>
          <w:sz w:val="32"/>
        </w:rPr>
        <w:t>年初预算数23.00万元，决算数14.75万元，预决算差异率-35.87%，主要原因是：年中调减特殊教育学校（特教班）生活补助经费，导致预决算存在差异。</w:t>
      </w:r>
    </w:p>
    <w:p w14:paraId="6E5F0DA9">
      <w:pPr>
        <w:spacing w:line="580" w:lineRule="exact"/>
        <w:ind w:firstLine="640"/>
        <w:jc w:val="both"/>
      </w:pPr>
      <w:r>
        <w:rPr>
          <w:rFonts w:ascii="仿宋_GB2312" w:hAnsi="仿宋_GB2312" w:eastAsia="仿宋_GB2312"/>
          <w:b w:val="0"/>
          <w:sz w:val="32"/>
        </w:rPr>
        <w:t>政府性基金预算财政拨款支出14.75万元。</w:t>
      </w:r>
    </w:p>
    <w:p w14:paraId="62819CFE">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11.50万元，比上年决算增加11.50万元，增长100.00%,主要原因是：本年增加彩票公益金支持特殊教育学校（特教班）生活补助经费。</w:t>
      </w:r>
    </w:p>
    <w:p w14:paraId="27045144">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2.其他支出(类)彩票公益金安排的支出(款)用于教育事业的彩票公益金支出(项):支出决算数为3.25万元，比上年决算增加3.25万元，增长100.00%,主要原因是：本年增加特殊教育学校（特教班）生活补助。</w:t>
      </w:r>
    </w:p>
    <w:p w14:paraId="6249844D">
      <w:pPr>
        <w:spacing w:line="640" w:lineRule="exact"/>
        <w:ind w:firstLine="640"/>
        <w:jc w:val="both"/>
        <w:outlineLvl w:val="2"/>
      </w:pPr>
      <w:r>
        <w:rPr>
          <w:rFonts w:ascii="黑体" w:hAnsi="黑体" w:eastAsia="黑体"/>
          <w:sz w:val="32"/>
        </w:rPr>
        <w:t>八、国有资本经营预算财政拨款收入支出决算情况说明</w:t>
      </w:r>
    </w:p>
    <w:p w14:paraId="00D3C72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1FB51E7">
      <w:pPr>
        <w:spacing w:line="640" w:lineRule="exact"/>
        <w:ind w:firstLine="640"/>
        <w:jc w:val="both"/>
        <w:outlineLvl w:val="2"/>
      </w:pPr>
      <w:r>
        <w:rPr>
          <w:rFonts w:ascii="黑体" w:hAnsi="黑体" w:eastAsia="黑体"/>
          <w:sz w:val="32"/>
        </w:rPr>
        <w:t>九、财政拨款“三公”经费支出决算情况说明</w:t>
      </w:r>
    </w:p>
    <w:p w14:paraId="1EF2786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7854A9">
      <w:pPr>
        <w:spacing w:line="580" w:lineRule="exact"/>
        <w:ind w:firstLine="640"/>
        <w:jc w:val="both"/>
      </w:pPr>
      <w:r>
        <w:rPr>
          <w:rFonts w:ascii="仿宋_GB2312" w:hAnsi="仿宋_GB2312" w:eastAsia="仿宋_GB2312"/>
          <w:b/>
          <w:sz w:val="32"/>
        </w:rPr>
        <w:t>具体情况如下：</w:t>
      </w:r>
    </w:p>
    <w:p w14:paraId="3DE61B7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C093D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F9B47A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9D743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48559E0">
      <w:pPr>
        <w:spacing w:line="640" w:lineRule="exact"/>
        <w:ind w:firstLine="640"/>
        <w:jc w:val="both"/>
        <w:outlineLvl w:val="2"/>
      </w:pPr>
      <w:r>
        <w:rPr>
          <w:rFonts w:ascii="黑体" w:hAnsi="黑体" w:eastAsia="黑体"/>
          <w:sz w:val="32"/>
        </w:rPr>
        <w:t>十、其他重要事项的情况说明</w:t>
      </w:r>
    </w:p>
    <w:p w14:paraId="3A398D62">
      <w:pPr>
        <w:spacing w:line="640" w:lineRule="exact"/>
        <w:ind w:firstLine="640"/>
        <w:jc w:val="both"/>
        <w:outlineLvl w:val="3"/>
      </w:pPr>
      <w:r>
        <w:rPr>
          <w:rFonts w:ascii="楷体_GB2312" w:hAnsi="楷体_GB2312" w:eastAsia="楷体_GB2312"/>
          <w:b/>
          <w:sz w:val="32"/>
        </w:rPr>
        <w:t>（一）机关运行经费及公用经费支出情况</w:t>
      </w:r>
    </w:p>
    <w:p w14:paraId="46FC8FFD">
      <w:pPr>
        <w:spacing w:line="580" w:lineRule="exact"/>
        <w:ind w:firstLine="640"/>
        <w:jc w:val="both"/>
      </w:pPr>
      <w:r>
        <w:rPr>
          <w:rFonts w:ascii="仿宋_GB2312" w:hAnsi="仿宋_GB2312" w:eastAsia="仿宋_GB2312"/>
          <w:b w:val="0"/>
          <w:sz w:val="32"/>
        </w:rPr>
        <w:t>2024年度阿图什市特殊教育学校（事业单位）公用经费支出0.00万元，比上年减少3.21万元，下降100.00%，主要原因是：本年减少取暖费，导致公用经费减少。</w:t>
      </w:r>
    </w:p>
    <w:p w14:paraId="4593B239">
      <w:pPr>
        <w:spacing w:line="640" w:lineRule="exact"/>
        <w:ind w:firstLine="640"/>
        <w:jc w:val="both"/>
        <w:outlineLvl w:val="3"/>
      </w:pPr>
      <w:r>
        <w:rPr>
          <w:rFonts w:ascii="楷体_GB2312" w:hAnsi="楷体_GB2312" w:eastAsia="楷体_GB2312"/>
          <w:b/>
          <w:sz w:val="32"/>
        </w:rPr>
        <w:t>（二）政府采购情况</w:t>
      </w:r>
    </w:p>
    <w:p w14:paraId="229B0209">
      <w:pPr>
        <w:spacing w:line="580" w:lineRule="exact"/>
        <w:ind w:firstLine="640"/>
        <w:jc w:val="both"/>
      </w:pPr>
      <w:r>
        <w:rPr>
          <w:rFonts w:ascii="仿宋_GB2312" w:hAnsi="仿宋_GB2312" w:eastAsia="仿宋_GB2312"/>
          <w:b w:val="0"/>
          <w:sz w:val="32"/>
        </w:rPr>
        <w:t>2024年度政府采购支出总额97.80万元，其中：政府采购货物支出19.25万元、政府采购工程支出52.25万元、政府采购服务支出26.31万元。</w:t>
      </w:r>
    </w:p>
    <w:p w14:paraId="140B1AC2">
      <w:pPr>
        <w:spacing w:line="580" w:lineRule="exact"/>
        <w:ind w:firstLine="640"/>
        <w:jc w:val="both"/>
      </w:pPr>
      <w:r>
        <w:rPr>
          <w:rFonts w:ascii="仿宋_GB2312" w:hAnsi="仿宋_GB2312" w:eastAsia="仿宋_GB2312"/>
          <w:b w:val="0"/>
          <w:sz w:val="32"/>
        </w:rPr>
        <w:t>授予中小企业合同金额91.98万元，占政府采购支出总额的94.05%，其中：授予小微企业合同金额91.97万元，占政府采购支出总额的94.04%。</w:t>
      </w:r>
    </w:p>
    <w:p w14:paraId="64047ACE">
      <w:pPr>
        <w:spacing w:line="640" w:lineRule="exact"/>
        <w:ind w:firstLine="640"/>
        <w:jc w:val="both"/>
        <w:outlineLvl w:val="3"/>
      </w:pPr>
      <w:r>
        <w:rPr>
          <w:rFonts w:ascii="楷体_GB2312" w:hAnsi="楷体_GB2312" w:eastAsia="楷体_GB2312"/>
          <w:b/>
          <w:sz w:val="32"/>
        </w:rPr>
        <w:t>（三）国有资产占用情况说明</w:t>
      </w:r>
    </w:p>
    <w:p w14:paraId="73292006">
      <w:pPr>
        <w:spacing w:line="580" w:lineRule="exact"/>
        <w:ind w:firstLine="640"/>
        <w:jc w:val="both"/>
      </w:pPr>
      <w:r>
        <w:rPr>
          <w:rFonts w:ascii="仿宋_GB2312" w:hAnsi="仿宋_GB2312" w:eastAsia="仿宋_GB2312"/>
          <w:b w:val="0"/>
          <w:sz w:val="32"/>
        </w:rPr>
        <w:t>截至2024年12月31日，房屋4,255.06平方米，价值868.23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531777E">
      <w:pPr>
        <w:spacing w:line="640" w:lineRule="exact"/>
        <w:ind w:firstLine="640"/>
        <w:jc w:val="both"/>
        <w:outlineLvl w:val="2"/>
      </w:pPr>
      <w:r>
        <w:rPr>
          <w:rFonts w:ascii="黑体" w:hAnsi="黑体" w:eastAsia="黑体"/>
          <w:sz w:val="32"/>
        </w:rPr>
        <w:t>十一、预算绩效的情况说明</w:t>
      </w:r>
    </w:p>
    <w:p w14:paraId="0EE26C5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979.45万元，实际执行总额941.98万元；预算绩效评价项目1个，全年预算数11.50万元，全年执行数11.50万元。预算绩效管理取得的成效：2024年彩票公益金支持特殊教育学校（特教班）生活补助经费项目资金达到了年初设立的绩效目标，在实施过程中取得了良好的成效，具体表现在以下几点：本项目共计支出11.50万元，用于发放补助学生人数115名学生，每人每年1000元补助；通过实施本项目加强特殊教育学生资助，提高特殊教育学校学生的教育与生活水平。全年2024年彩票公益金支持特殊教育学校（特教班）生活补助经费项目支出共计11.50万元，评价得分值100分。发现的问题及原因：预算编制工作，认真做好预算的编制。全面编制预算项目，优先保障固定性的、相对刚性的费用支出项目，尽量压缩变动性的、有控制空间的费用项目，进一步提高预算编制的科学性、严谨性和可控性。下一步改进措施：开展进度的跟踪，确保项目绩效目标的完成。规范程序，严格把关。进一步完善项目申报、审核、公示、审批等程序，做好项目信息公开，公开内容要及时、完整、真实，确保项目公平、公开、公正。健全制度，加强督促。针对项目实施中存在的问题，进一步完善相关制度，加强督促检查，确保质量安全和建设进度；同时及时完善资料。具体附整体支出绩效自评表，项目支出绩效自评表和评价报告。</w:t>
      </w:r>
    </w:p>
    <w:p w14:paraId="698BA62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3133278">
        <w:tc>
          <w:tcPr>
            <w:tcW w:w="8840" w:type="dxa"/>
            <w:gridSpan w:val="8"/>
            <w:vAlign w:val="center"/>
          </w:tcPr>
          <w:p w14:paraId="1B4E843A">
            <w:pPr>
              <w:jc w:val="center"/>
            </w:pPr>
            <w:r>
              <w:rPr>
                <w:rFonts w:ascii="宋体" w:hAnsi="宋体" w:eastAsia="宋体"/>
                <w:sz w:val="24"/>
              </w:rPr>
              <w:t>单位整体支出绩效自评表</w:t>
            </w:r>
          </w:p>
        </w:tc>
      </w:tr>
      <w:tr w14:paraId="1A7DBF23">
        <w:tblPrEx>
          <w:tblCellMar>
            <w:top w:w="0" w:type="dxa"/>
            <w:left w:w="108" w:type="dxa"/>
            <w:bottom w:w="0" w:type="dxa"/>
            <w:right w:w="108" w:type="dxa"/>
          </w:tblCellMar>
        </w:tblPrEx>
        <w:tc>
          <w:tcPr>
            <w:tcW w:w="8840" w:type="dxa"/>
            <w:gridSpan w:val="8"/>
            <w:vAlign w:val="center"/>
          </w:tcPr>
          <w:p w14:paraId="1A9706CF">
            <w:pPr>
              <w:jc w:val="center"/>
            </w:pPr>
            <w:r>
              <w:rPr>
                <w:rFonts w:ascii="宋体" w:hAnsi="宋体" w:eastAsia="宋体"/>
                <w:sz w:val="24"/>
              </w:rPr>
              <w:t>（2024年度）</w:t>
            </w:r>
          </w:p>
        </w:tc>
      </w:tr>
      <w:tr w14:paraId="618EE9A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5F25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F265F">
            <w:pPr>
              <w:jc w:val="center"/>
            </w:pPr>
            <w:r>
              <w:rPr>
                <w:rFonts w:ascii="宋体" w:hAnsi="宋体" w:eastAsia="宋体"/>
                <w:sz w:val="16"/>
              </w:rPr>
              <w:t>阿图什市特殊教育学校</w:t>
            </w:r>
          </w:p>
        </w:tc>
      </w:tr>
      <w:tr w14:paraId="45CBA16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6B7F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A024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8D4E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47B2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5F2F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7F1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013B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1F4B1">
            <w:pPr>
              <w:jc w:val="center"/>
            </w:pPr>
            <w:r>
              <w:rPr>
                <w:rFonts w:ascii="宋体" w:hAnsi="宋体" w:eastAsia="宋体"/>
                <w:sz w:val="16"/>
              </w:rPr>
              <w:t>得分</w:t>
            </w:r>
          </w:p>
        </w:tc>
      </w:tr>
      <w:tr w14:paraId="5F7DCC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9E032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98C3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F5273">
            <w:pPr>
              <w:jc w:val="center"/>
            </w:pPr>
            <w:r>
              <w:rPr>
                <w:rFonts w:ascii="宋体" w:hAnsi="宋体" w:eastAsia="宋体"/>
                <w:sz w:val="16"/>
              </w:rPr>
              <w:t>778.24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83C61">
            <w:pPr>
              <w:jc w:val="center"/>
            </w:pPr>
            <w:r>
              <w:rPr>
                <w:rFonts w:ascii="宋体" w:hAnsi="宋体" w:eastAsia="宋体"/>
                <w:sz w:val="16"/>
              </w:rPr>
              <w:t>979.45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A3A47">
            <w:pPr>
              <w:jc w:val="center"/>
            </w:pPr>
            <w:r>
              <w:rPr>
                <w:rFonts w:ascii="宋体" w:hAnsi="宋体" w:eastAsia="宋体"/>
                <w:sz w:val="16"/>
              </w:rPr>
              <w:t>941.98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8BCE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C0759">
            <w:pPr>
              <w:jc w:val="center"/>
            </w:pPr>
            <w:r>
              <w:rPr>
                <w:rFonts w:ascii="宋体" w:hAnsi="宋体" w:eastAsia="宋体"/>
                <w:sz w:val="16"/>
              </w:rPr>
              <w:t>96.17%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DA55A">
            <w:pPr>
              <w:jc w:val="center"/>
            </w:pPr>
            <w:r>
              <w:rPr>
                <w:rFonts w:hint="eastAsia" w:ascii="宋体" w:hAnsi="宋体" w:eastAsia="宋体"/>
                <w:sz w:val="16"/>
              </w:rPr>
              <w:t>9.62</w:t>
            </w:r>
            <w:bookmarkStart w:id="0" w:name="_GoBack"/>
            <w:bookmarkEnd w:id="0"/>
          </w:p>
        </w:tc>
      </w:tr>
      <w:tr w14:paraId="0ED019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D410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A719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F72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62BE7">
            <w:pPr>
              <w:jc w:val="center"/>
            </w:pPr>
            <w:r>
              <w:rPr>
                <w:rFonts w:ascii="宋体" w:hAnsi="宋体" w:eastAsia="宋体"/>
                <w:sz w:val="16"/>
              </w:rPr>
              <w:t>118.63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6E9DD">
            <w:pPr>
              <w:jc w:val="center"/>
            </w:pPr>
            <w:r>
              <w:rPr>
                <w:rFonts w:ascii="宋体" w:hAnsi="宋体" w:eastAsia="宋体"/>
                <w:sz w:val="16"/>
              </w:rPr>
              <w:t>118.63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648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680F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191E9">
            <w:pPr>
              <w:jc w:val="center"/>
            </w:pPr>
            <w:r>
              <w:rPr>
                <w:rFonts w:ascii="宋体" w:hAnsi="宋体" w:eastAsia="宋体"/>
                <w:sz w:val="16"/>
              </w:rPr>
              <w:t>—</w:t>
            </w:r>
          </w:p>
        </w:tc>
      </w:tr>
      <w:tr w14:paraId="17BECC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B1E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BA70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88C7E">
            <w:pPr>
              <w:jc w:val="center"/>
            </w:pPr>
            <w:r>
              <w:rPr>
                <w:rFonts w:ascii="宋体" w:hAnsi="宋体" w:eastAsia="宋体"/>
                <w:sz w:val="16"/>
              </w:rPr>
              <w:t>778.24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37475">
            <w:pPr>
              <w:jc w:val="center"/>
            </w:pPr>
            <w:r>
              <w:rPr>
                <w:rFonts w:ascii="宋体" w:hAnsi="宋体" w:eastAsia="宋体"/>
                <w:sz w:val="16"/>
              </w:rPr>
              <w:t>860.82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7B057">
            <w:pPr>
              <w:jc w:val="center"/>
            </w:pPr>
            <w:r>
              <w:rPr>
                <w:rFonts w:ascii="宋体" w:hAnsi="宋体" w:eastAsia="宋体"/>
                <w:sz w:val="16"/>
              </w:rPr>
              <w:t>823.35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419B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A00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034DE">
            <w:pPr>
              <w:jc w:val="center"/>
            </w:pPr>
            <w:r>
              <w:rPr>
                <w:rFonts w:ascii="宋体" w:hAnsi="宋体" w:eastAsia="宋体"/>
                <w:sz w:val="16"/>
              </w:rPr>
              <w:t>—</w:t>
            </w:r>
          </w:p>
        </w:tc>
      </w:tr>
      <w:tr w14:paraId="35C637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8647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8C20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1A16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F11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C749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CF1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D58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25B42">
            <w:pPr>
              <w:jc w:val="center"/>
            </w:pPr>
            <w:r>
              <w:rPr>
                <w:rFonts w:ascii="宋体" w:hAnsi="宋体" w:eastAsia="宋体"/>
                <w:sz w:val="16"/>
              </w:rPr>
              <w:t>—</w:t>
            </w:r>
          </w:p>
        </w:tc>
      </w:tr>
      <w:tr w14:paraId="01094F9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1701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0E1C0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EA9077">
            <w:pPr>
              <w:jc w:val="center"/>
            </w:pPr>
            <w:r>
              <w:rPr>
                <w:rFonts w:ascii="宋体" w:hAnsi="宋体" w:eastAsia="宋体"/>
                <w:sz w:val="16"/>
              </w:rPr>
              <w:t>实际完成情况</w:t>
            </w:r>
          </w:p>
        </w:tc>
      </w:tr>
      <w:tr w14:paraId="5D8D65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E0AF7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78D217">
            <w:pPr>
              <w:jc w:val="both"/>
            </w:pPr>
            <w:r>
              <w:rPr>
                <w:rFonts w:ascii="宋体" w:hAnsi="宋体" w:eastAsia="宋体"/>
                <w:sz w:val="16"/>
              </w:rPr>
              <w:t xml:space="preserve">单位基本职能：以精细化管理为抓手，以深化改革为动力，以教育局教育工作会议精神为指引，进一步推进特殊教育工作，以学校工作为本，以教师工作为主，以让特殊需要的学生适应社会生活为目标，为特殊需要的学生创设良好的学习生活环境，受到平等的教育，将来走上社会做个自食其力的合格公民做出不懈努力。 </w:t>
            </w:r>
            <w:r>
              <w:rPr>
                <w:rFonts w:ascii="宋体" w:hAnsi="宋体" w:eastAsia="宋体"/>
                <w:sz w:val="16"/>
              </w:rPr>
              <w:br w:type="textWrapping"/>
            </w:r>
            <w:r>
              <w:rPr>
                <w:rFonts w:ascii="宋体" w:hAnsi="宋体" w:eastAsia="宋体"/>
                <w:sz w:val="16"/>
              </w:rPr>
              <w:t xml:space="preserve">机构设置及人员配置：无下属预算单位，下设7个科室，编制数36，实有人数44人，在职44人。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次工作，使教研教改共同代全校基础工作蓬勃发展。 </w:t>
            </w:r>
            <w:r>
              <w:rPr>
                <w:rFonts w:ascii="宋体" w:hAnsi="宋体" w:eastAsia="宋体"/>
                <w:sz w:val="16"/>
              </w:rPr>
              <w:br w:type="textWrapping"/>
            </w:r>
            <w:r>
              <w:rPr>
                <w:rFonts w:ascii="宋体" w:hAnsi="宋体" w:eastAsia="宋体"/>
                <w:sz w:val="16"/>
              </w:rPr>
              <w:t xml:space="preserve">  保障单位在职44人的工资福利及各项补助正常发放及部门正常运转，及时做好教职工工资，代发生活补贴，班主任费发放的数据，信息更新，确保教职工利益，保障学生资助。</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D0DE22">
            <w:pPr>
              <w:jc w:val="both"/>
            </w:pPr>
            <w:r>
              <w:rPr>
                <w:rFonts w:ascii="宋体" w:hAnsi="宋体" w:eastAsia="宋体"/>
                <w:sz w:val="16"/>
              </w:rPr>
              <w:t xml:space="preserve">本单位共计支出941.98万元，用于保障部门在职44人的工资福利、各项补助正常发放及部门单位正常运转，单位预算项目根据年初计划均已完成，加强理论学习、转变思想观念、深化教研教改工作，全面提高教学质量，不断探索贯彻启发式、探索式学习思想的课堂教学模式，年度任务中完成法制教育课和交通安全知识讲座20次，教师培训人数30人，保障单位日常运转期限12个月等目标。 </w:t>
            </w:r>
          </w:p>
        </w:tc>
      </w:tr>
      <w:tr w14:paraId="27BE1B0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A590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4C8D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4677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9500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08CF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95D2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266F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68B28">
            <w:pPr>
              <w:jc w:val="center"/>
            </w:pPr>
            <w:r>
              <w:rPr>
                <w:rFonts w:ascii="宋体" w:hAnsi="宋体" w:eastAsia="宋体"/>
                <w:sz w:val="16"/>
              </w:rPr>
              <w:t>得分</w:t>
            </w:r>
          </w:p>
        </w:tc>
      </w:tr>
      <w:tr w14:paraId="03630C4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DE34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925B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7D61D">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2F0A1">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8F67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F3E4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C7CEF">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0830F">
            <w:pPr>
              <w:jc w:val="center"/>
            </w:pPr>
            <w:r>
              <w:rPr>
                <w:rFonts w:ascii="宋体" w:hAnsi="宋体" w:eastAsia="宋体"/>
                <w:sz w:val="16"/>
              </w:rPr>
              <w:t>18</w:t>
            </w:r>
          </w:p>
        </w:tc>
      </w:tr>
      <w:tr w14:paraId="59983B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C9E4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1008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665CB">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D90FE">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4032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D1CF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356E0">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6BDA0">
            <w:pPr>
              <w:jc w:val="center"/>
            </w:pPr>
            <w:r>
              <w:rPr>
                <w:rFonts w:ascii="宋体" w:hAnsi="宋体" w:eastAsia="宋体"/>
                <w:sz w:val="16"/>
              </w:rPr>
              <w:t>18</w:t>
            </w:r>
          </w:p>
        </w:tc>
      </w:tr>
      <w:tr w14:paraId="10D2E6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E4ACA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6DF1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A352D">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2B082">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7B79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55BF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160B8">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F3A5D">
            <w:pPr>
              <w:jc w:val="center"/>
            </w:pPr>
            <w:r>
              <w:rPr>
                <w:rFonts w:ascii="宋体" w:hAnsi="宋体" w:eastAsia="宋体"/>
                <w:sz w:val="16"/>
              </w:rPr>
              <w:t>18</w:t>
            </w:r>
          </w:p>
        </w:tc>
      </w:tr>
      <w:tr w14:paraId="1C8329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037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080B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71F96">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561B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9888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3CE1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1BC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015C1">
            <w:pPr>
              <w:jc w:val="center"/>
            </w:pPr>
            <w:r>
              <w:rPr>
                <w:rFonts w:ascii="宋体" w:hAnsi="宋体" w:eastAsia="宋体"/>
                <w:sz w:val="16"/>
              </w:rPr>
              <w:t>18</w:t>
            </w:r>
          </w:p>
        </w:tc>
      </w:tr>
      <w:tr w14:paraId="6982908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2CCCE">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29ECC">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CB460">
            <w:pPr>
              <w:jc w:val="center"/>
            </w:pPr>
            <w:r>
              <w:rPr>
                <w:rFonts w:ascii="宋体" w:hAnsi="宋体" w:eastAsia="宋体"/>
                <w:sz w:val="16"/>
              </w:rPr>
              <w:t>特殊教育巩固率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FA1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FBC1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5FFD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CE4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732A4">
            <w:pPr>
              <w:jc w:val="center"/>
            </w:pPr>
            <w:r>
              <w:rPr>
                <w:rFonts w:ascii="宋体" w:hAnsi="宋体" w:eastAsia="宋体"/>
                <w:sz w:val="16"/>
              </w:rPr>
              <w:t>18</w:t>
            </w:r>
          </w:p>
        </w:tc>
      </w:tr>
    </w:tbl>
    <w:p w14:paraId="635E52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2E864CA">
        <w:tblPrEx>
          <w:tblCellMar>
            <w:top w:w="0" w:type="dxa"/>
            <w:left w:w="108" w:type="dxa"/>
            <w:bottom w:w="0" w:type="dxa"/>
            <w:right w:w="108" w:type="dxa"/>
          </w:tblCellMar>
        </w:tblPrEx>
        <w:tc>
          <w:tcPr>
            <w:tcW w:w="8848" w:type="dxa"/>
            <w:gridSpan w:val="14"/>
            <w:vAlign w:val="center"/>
          </w:tcPr>
          <w:p w14:paraId="3CF65C5A">
            <w:pPr>
              <w:jc w:val="center"/>
            </w:pPr>
            <w:r>
              <w:rPr>
                <w:rFonts w:ascii="宋体" w:hAnsi="宋体" w:eastAsia="宋体"/>
                <w:sz w:val="24"/>
              </w:rPr>
              <w:t>项目支出绩效自评表</w:t>
            </w:r>
          </w:p>
        </w:tc>
      </w:tr>
      <w:tr w14:paraId="27F293E6">
        <w:tblPrEx>
          <w:tblCellMar>
            <w:top w:w="0" w:type="dxa"/>
            <w:left w:w="108" w:type="dxa"/>
            <w:bottom w:w="0" w:type="dxa"/>
            <w:right w:w="108" w:type="dxa"/>
          </w:tblCellMar>
        </w:tblPrEx>
        <w:tc>
          <w:tcPr>
            <w:tcW w:w="8848" w:type="dxa"/>
            <w:gridSpan w:val="14"/>
            <w:vAlign w:val="center"/>
          </w:tcPr>
          <w:p w14:paraId="608544B8">
            <w:pPr>
              <w:jc w:val="center"/>
            </w:pPr>
            <w:r>
              <w:rPr>
                <w:rFonts w:ascii="宋体" w:hAnsi="宋体" w:eastAsia="宋体"/>
                <w:sz w:val="24"/>
              </w:rPr>
              <w:t>(2024年度)</w:t>
            </w:r>
          </w:p>
        </w:tc>
      </w:tr>
      <w:tr w14:paraId="07D9AB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D0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02ED7B">
            <w:pPr>
              <w:jc w:val="center"/>
            </w:pPr>
            <w:r>
              <w:rPr>
                <w:rFonts w:ascii="宋体" w:hAnsi="宋体" w:eastAsia="宋体"/>
                <w:sz w:val="16"/>
              </w:rPr>
              <w:t>2024年彩票公益金支持特殊教育学校（特教班）生活补助经费项目</w:t>
            </w:r>
          </w:p>
        </w:tc>
      </w:tr>
      <w:tr w14:paraId="7264C7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AC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338F6">
            <w:pPr>
              <w:jc w:val="center"/>
            </w:pPr>
            <w:r>
              <w:rPr>
                <w:rFonts w:ascii="宋体" w:hAnsi="宋体" w:eastAsia="宋体"/>
                <w:sz w:val="16"/>
              </w:rPr>
              <w:t>阿图什市特殊教育学校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23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9A0F9F">
            <w:pPr>
              <w:jc w:val="center"/>
            </w:pPr>
            <w:r>
              <w:rPr>
                <w:rFonts w:ascii="宋体" w:hAnsi="宋体" w:eastAsia="宋体"/>
                <w:sz w:val="16"/>
              </w:rPr>
              <w:t>阿图什市特殊教育学校</w:t>
            </w:r>
          </w:p>
        </w:tc>
      </w:tr>
      <w:tr w14:paraId="1ACF1A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803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75C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8EB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B8B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C6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12D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07B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0A4F">
            <w:pPr>
              <w:jc w:val="center"/>
            </w:pPr>
            <w:r>
              <w:rPr>
                <w:rFonts w:ascii="宋体" w:hAnsi="宋体" w:eastAsia="宋体"/>
                <w:sz w:val="16"/>
              </w:rPr>
              <w:t>得分</w:t>
            </w:r>
          </w:p>
        </w:tc>
      </w:tr>
      <w:tr w14:paraId="0AEFD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0E5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751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5833C">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685B">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68827">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F75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727F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0DCB">
            <w:pPr>
              <w:jc w:val="center"/>
            </w:pPr>
            <w:r>
              <w:rPr>
                <w:rFonts w:ascii="宋体" w:hAnsi="宋体" w:eastAsia="宋体"/>
                <w:sz w:val="16"/>
              </w:rPr>
              <w:t>10.00分</w:t>
            </w:r>
          </w:p>
        </w:tc>
      </w:tr>
      <w:tr w14:paraId="5A4B2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E8A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D1C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5372">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D2AEC">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5FCE">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9E9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E7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AA9B">
            <w:pPr>
              <w:jc w:val="center"/>
            </w:pPr>
            <w:r>
              <w:rPr>
                <w:rFonts w:ascii="宋体" w:hAnsi="宋体" w:eastAsia="宋体"/>
                <w:sz w:val="16"/>
              </w:rPr>
              <w:t>—</w:t>
            </w:r>
          </w:p>
        </w:tc>
      </w:tr>
      <w:tr w14:paraId="2B8EA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43E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3AB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2E9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E1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66D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34B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AA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AF88">
            <w:pPr>
              <w:jc w:val="center"/>
            </w:pPr>
            <w:r>
              <w:rPr>
                <w:rFonts w:ascii="宋体" w:hAnsi="宋体" w:eastAsia="宋体"/>
                <w:sz w:val="16"/>
              </w:rPr>
              <w:t>—</w:t>
            </w:r>
          </w:p>
        </w:tc>
      </w:tr>
      <w:tr w14:paraId="3A1C75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F6C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E2C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09D78">
            <w:pPr>
              <w:jc w:val="center"/>
            </w:pPr>
            <w:r>
              <w:rPr>
                <w:rFonts w:ascii="宋体" w:hAnsi="宋体" w:eastAsia="宋体"/>
                <w:sz w:val="16"/>
              </w:rPr>
              <w:t>实际完成情况</w:t>
            </w:r>
          </w:p>
        </w:tc>
      </w:tr>
      <w:tr w14:paraId="306D4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3E0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899B8">
            <w:pPr>
              <w:jc w:val="both"/>
            </w:pPr>
            <w:r>
              <w:rPr>
                <w:rFonts w:ascii="宋体" w:hAnsi="宋体" w:eastAsia="宋体"/>
                <w:sz w:val="16"/>
              </w:rPr>
              <w:t>根据《自治区特殊教育学校（班）学生生活补助经费管理办法的通知》新财教</w:t>
            </w:r>
            <w:r>
              <w:rPr>
                <w:rFonts w:hint="eastAsia" w:ascii="宋体" w:hAnsi="宋体"/>
                <w:sz w:val="16"/>
                <w:lang w:eastAsia="zh-CN"/>
              </w:rPr>
              <w:t>〔2024〕5号</w:t>
            </w:r>
            <w:r>
              <w:rPr>
                <w:rFonts w:ascii="宋体" w:hAnsi="宋体" w:eastAsia="宋体"/>
                <w:sz w:val="16"/>
              </w:rPr>
              <w:t>文件实施此项目，为加强特殊教育学生资助，发放补助学生人数115名学生，每人每年1000元补助，通过实施提高特殊教育学校学生的教育与生活水平。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7E57B2">
            <w:pPr>
              <w:jc w:val="both"/>
            </w:pPr>
            <w:r>
              <w:rPr>
                <w:rFonts w:ascii="宋体" w:hAnsi="宋体" w:eastAsia="宋体"/>
                <w:sz w:val="16"/>
              </w:rPr>
              <w:t>根据《自治区特殊教育学校（班）学生生活补助经费管理办法的通知》新财教〔2024〕5号文件，本项目共计支出11.5万元，用于发放补助学生人数115名学生，每人每年1000元补助；通过实施本项目加强特殊教育学生资助，提高特殊教育学校学生的教育与生活水平。</w:t>
            </w:r>
          </w:p>
        </w:tc>
      </w:tr>
      <w:tr w14:paraId="2CB980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C88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42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92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41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96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6D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FE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DC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7C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CD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95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2E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12DEA">
            <w:pPr>
              <w:jc w:val="center"/>
            </w:pPr>
            <w:r>
              <w:rPr>
                <w:rFonts w:ascii="宋体" w:hAnsi="宋体" w:eastAsia="宋体"/>
                <w:sz w:val="16"/>
              </w:rPr>
              <w:t>偏差原因分析及改进措施</w:t>
            </w:r>
          </w:p>
        </w:tc>
      </w:tr>
      <w:tr w14:paraId="447FF6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8CD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E0C1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40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7CBB">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4CB0">
            <w:pPr>
              <w:jc w:val="center"/>
            </w:pPr>
            <w:r>
              <w:rPr>
                <w:rFonts w:ascii="宋体" w:hAnsi="宋体" w:eastAsia="宋体"/>
                <w:sz w:val="16"/>
              </w:rPr>
              <w:t>&gt;=115人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2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B1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E7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4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FE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1261">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F3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6A091">
            <w:pPr>
              <w:jc w:val="center"/>
            </w:pPr>
          </w:p>
        </w:tc>
      </w:tr>
      <w:tr w14:paraId="3FABE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B1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52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1E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03C1">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4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1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A2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5C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45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67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8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9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732D">
            <w:pPr>
              <w:jc w:val="center"/>
            </w:pPr>
          </w:p>
        </w:tc>
      </w:tr>
      <w:tr w14:paraId="1CABF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FFF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0CF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123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08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CCC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8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1B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13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D3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66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381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DD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3BD38">
            <w:pPr>
              <w:jc w:val="center"/>
            </w:pPr>
          </w:p>
        </w:tc>
      </w:tr>
      <w:tr w14:paraId="10D53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A1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F1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CF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7DB1">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8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4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58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16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6E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CB9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5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F0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E8BB9">
            <w:pPr>
              <w:jc w:val="center"/>
            </w:pPr>
          </w:p>
        </w:tc>
      </w:tr>
      <w:tr w14:paraId="06D50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72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B7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3A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BAFD">
            <w:pPr>
              <w:jc w:val="center"/>
            </w:pPr>
            <w:r>
              <w:rPr>
                <w:rFonts w:ascii="宋体" w:hAnsi="宋体" w:eastAsia="宋体"/>
                <w:sz w:val="16"/>
              </w:rPr>
              <w:t>生活补助经费标准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E80B">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56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19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F5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49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904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11FB">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10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C9A3A">
            <w:pPr>
              <w:jc w:val="center"/>
            </w:pPr>
          </w:p>
        </w:tc>
      </w:tr>
      <w:tr w14:paraId="186C3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E08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E1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5D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8822">
            <w:pPr>
              <w:jc w:val="center"/>
            </w:pPr>
            <w:r>
              <w:rPr>
                <w:rFonts w:ascii="宋体" w:hAnsi="宋体" w:eastAsia="宋体"/>
                <w:sz w:val="16"/>
              </w:rPr>
              <w:t>提高特殊教育学校学生的教育与生活水平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8B39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4A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E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10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C8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6B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4E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1D9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E4D32">
            <w:pPr>
              <w:jc w:val="center"/>
            </w:pPr>
          </w:p>
        </w:tc>
      </w:tr>
      <w:tr w14:paraId="6B2E2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7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97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62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416E">
            <w:pPr>
              <w:jc w:val="center"/>
            </w:pPr>
            <w:r>
              <w:rPr>
                <w:rFonts w:ascii="宋体" w:hAnsi="宋体" w:eastAsia="宋体"/>
                <w:sz w:val="16"/>
              </w:rPr>
              <w:t>补助学生满意度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B2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A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22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1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82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D8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2B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D1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BEF73">
            <w:pPr>
              <w:jc w:val="center"/>
            </w:pPr>
          </w:p>
        </w:tc>
      </w:tr>
      <w:tr w14:paraId="5F95DBA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E75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07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979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0F3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903205"/>
        </w:tc>
      </w:tr>
    </w:tbl>
    <w:p w14:paraId="126B7D69">
      <w:r>
        <w:br w:type="page"/>
      </w:r>
    </w:p>
    <w:p w14:paraId="708A318B">
      <w:pPr>
        <w:spacing w:line="640" w:lineRule="exact"/>
        <w:ind w:firstLine="640"/>
        <w:jc w:val="both"/>
        <w:outlineLvl w:val="2"/>
      </w:pPr>
      <w:r>
        <w:rPr>
          <w:rFonts w:ascii="黑体" w:hAnsi="黑体" w:eastAsia="黑体"/>
          <w:sz w:val="32"/>
        </w:rPr>
        <w:t>十二、其他需说明的事项</w:t>
      </w:r>
    </w:p>
    <w:p w14:paraId="6100B030">
      <w:pPr>
        <w:spacing w:line="580" w:lineRule="exact"/>
        <w:ind w:firstLine="640"/>
        <w:jc w:val="both"/>
      </w:pPr>
      <w:r>
        <w:rPr>
          <w:rFonts w:ascii="仿宋_GB2312" w:hAnsi="仿宋_GB2312" w:eastAsia="仿宋_GB2312"/>
          <w:b w:val="0"/>
          <w:sz w:val="32"/>
        </w:rPr>
        <w:t>本单位无其他需说明的事项。</w:t>
      </w:r>
    </w:p>
    <w:p w14:paraId="68E4FC45">
      <w:r>
        <w:br w:type="page"/>
      </w:r>
    </w:p>
    <w:p w14:paraId="3EF47FC2">
      <w:pPr>
        <w:spacing w:line="240" w:lineRule="auto"/>
        <w:jc w:val="center"/>
        <w:outlineLvl w:val="1"/>
      </w:pPr>
      <w:r>
        <w:rPr>
          <w:rFonts w:ascii="黑体" w:hAnsi="黑体" w:eastAsia="黑体"/>
          <w:sz w:val="32"/>
        </w:rPr>
        <w:t>第三部分 专业名词解释</w:t>
      </w:r>
    </w:p>
    <w:p w14:paraId="1A7DDC1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68975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00E49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C44BB4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552BB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D07D69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4613E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CE3B3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340A9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167CB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901A51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F70D0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6098B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A376B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97E3F7">
      <w:r>
        <w:br w:type="page"/>
      </w:r>
    </w:p>
    <w:p w14:paraId="5B358C3F">
      <w:pPr>
        <w:spacing w:line="240" w:lineRule="auto"/>
        <w:jc w:val="center"/>
        <w:outlineLvl w:val="1"/>
      </w:pPr>
      <w:r>
        <w:rPr>
          <w:rFonts w:ascii="黑体" w:hAnsi="黑体" w:eastAsia="黑体"/>
          <w:sz w:val="32"/>
        </w:rPr>
        <w:t>第四部分 部门决算报表（见附表）</w:t>
      </w:r>
    </w:p>
    <w:p w14:paraId="2F72A1F8">
      <w:pPr>
        <w:spacing w:line="240" w:lineRule="auto"/>
        <w:ind w:firstLine="640"/>
        <w:jc w:val="both"/>
      </w:pPr>
      <w:r>
        <w:rPr>
          <w:rFonts w:ascii="仿宋_GB2312" w:hAnsi="仿宋_GB2312" w:eastAsia="仿宋_GB2312"/>
          <w:b w:val="0"/>
          <w:sz w:val="32"/>
        </w:rPr>
        <w:t>一、《收入支出决算总表》</w:t>
      </w:r>
    </w:p>
    <w:p w14:paraId="5D903474">
      <w:pPr>
        <w:spacing w:line="240" w:lineRule="auto"/>
        <w:ind w:firstLine="640"/>
        <w:jc w:val="both"/>
      </w:pPr>
      <w:r>
        <w:rPr>
          <w:rFonts w:ascii="仿宋_GB2312" w:hAnsi="仿宋_GB2312" w:eastAsia="仿宋_GB2312"/>
          <w:b w:val="0"/>
          <w:sz w:val="32"/>
        </w:rPr>
        <w:t>二、《收入决算表》</w:t>
      </w:r>
    </w:p>
    <w:p w14:paraId="0D4731D8">
      <w:pPr>
        <w:spacing w:line="240" w:lineRule="auto"/>
        <w:ind w:firstLine="640"/>
        <w:jc w:val="both"/>
      </w:pPr>
      <w:r>
        <w:rPr>
          <w:rFonts w:ascii="仿宋_GB2312" w:hAnsi="仿宋_GB2312" w:eastAsia="仿宋_GB2312"/>
          <w:b w:val="0"/>
          <w:sz w:val="32"/>
        </w:rPr>
        <w:t>三、《支出决算表》</w:t>
      </w:r>
    </w:p>
    <w:p w14:paraId="1A197BD2">
      <w:pPr>
        <w:spacing w:line="240" w:lineRule="auto"/>
        <w:ind w:firstLine="640"/>
        <w:jc w:val="both"/>
      </w:pPr>
      <w:r>
        <w:rPr>
          <w:rFonts w:ascii="仿宋_GB2312" w:hAnsi="仿宋_GB2312" w:eastAsia="仿宋_GB2312"/>
          <w:b w:val="0"/>
          <w:sz w:val="32"/>
        </w:rPr>
        <w:t>四、《财政拨款收入支出决算总表》</w:t>
      </w:r>
    </w:p>
    <w:p w14:paraId="5180D495">
      <w:pPr>
        <w:spacing w:line="240" w:lineRule="auto"/>
        <w:ind w:firstLine="640"/>
        <w:jc w:val="both"/>
      </w:pPr>
      <w:r>
        <w:rPr>
          <w:rFonts w:ascii="仿宋_GB2312" w:hAnsi="仿宋_GB2312" w:eastAsia="仿宋_GB2312"/>
          <w:b w:val="0"/>
          <w:sz w:val="32"/>
        </w:rPr>
        <w:t>五、《一般公共预算财政拨款支出决算表》</w:t>
      </w:r>
    </w:p>
    <w:p w14:paraId="2800FF35">
      <w:pPr>
        <w:spacing w:line="240" w:lineRule="auto"/>
        <w:ind w:firstLine="640"/>
        <w:jc w:val="both"/>
      </w:pPr>
      <w:r>
        <w:rPr>
          <w:rFonts w:ascii="仿宋_GB2312" w:hAnsi="仿宋_GB2312" w:eastAsia="仿宋_GB2312"/>
          <w:b w:val="0"/>
          <w:sz w:val="32"/>
        </w:rPr>
        <w:t>六、《一般公共预算财政拨款基本支出决算表》</w:t>
      </w:r>
    </w:p>
    <w:p w14:paraId="484D6DB9">
      <w:pPr>
        <w:spacing w:line="240" w:lineRule="auto"/>
        <w:ind w:firstLine="640"/>
        <w:jc w:val="both"/>
      </w:pPr>
      <w:r>
        <w:rPr>
          <w:rFonts w:ascii="仿宋_GB2312" w:hAnsi="仿宋_GB2312" w:eastAsia="仿宋_GB2312"/>
          <w:b w:val="0"/>
          <w:sz w:val="32"/>
        </w:rPr>
        <w:t>七、《政府性基金预算财政拨款收入支出决算表》</w:t>
      </w:r>
    </w:p>
    <w:p w14:paraId="71E8E435">
      <w:pPr>
        <w:spacing w:line="240" w:lineRule="auto"/>
        <w:ind w:firstLine="640"/>
        <w:jc w:val="both"/>
      </w:pPr>
      <w:r>
        <w:rPr>
          <w:rFonts w:ascii="仿宋_GB2312" w:hAnsi="仿宋_GB2312" w:eastAsia="仿宋_GB2312"/>
          <w:b w:val="0"/>
          <w:sz w:val="32"/>
        </w:rPr>
        <w:t>八、《国有资本经营预算财政拨款收入支出决算表》</w:t>
      </w:r>
    </w:p>
    <w:p w14:paraId="4452166C">
      <w:pPr>
        <w:spacing w:line="240" w:lineRule="auto"/>
        <w:ind w:firstLine="640"/>
        <w:jc w:val="both"/>
      </w:pPr>
      <w:r>
        <w:rPr>
          <w:rFonts w:ascii="仿宋_GB2312" w:hAnsi="仿宋_GB2312" w:eastAsia="仿宋_GB2312"/>
          <w:b w:val="0"/>
          <w:sz w:val="32"/>
        </w:rPr>
        <w:t>九、《财政拨款“三公”经费支出决算表》</w:t>
      </w:r>
    </w:p>
    <w:p w14:paraId="0C67007D">
      <w:pPr>
        <w:spacing w:line="240" w:lineRule="auto"/>
        <w:ind w:firstLine="640"/>
        <w:jc w:val="both"/>
      </w:pPr>
    </w:p>
    <w:p w14:paraId="445CD79A">
      <w:pPr>
        <w:spacing w:line="240" w:lineRule="auto"/>
        <w:ind w:firstLine="640"/>
        <w:jc w:val="both"/>
      </w:pPr>
    </w:p>
    <w:p w14:paraId="1A9078B6">
      <w:pPr>
        <w:spacing w:line="240" w:lineRule="auto"/>
        <w:ind w:firstLine="640"/>
        <w:jc w:val="both"/>
      </w:pPr>
    </w:p>
    <w:p w14:paraId="357F97D3">
      <w:pPr>
        <w:spacing w:line="240" w:lineRule="auto"/>
        <w:ind w:firstLine="640"/>
        <w:jc w:val="both"/>
      </w:pPr>
    </w:p>
    <w:p w14:paraId="7DAD9E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42DAAE-3D59-402B-B25B-8D7C29E201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CF034EC-B5B5-4C1E-896E-8F83DAA73E0F}"/>
  </w:font>
  <w:font w:name="方正小标宋_GBK">
    <w:panose1 w:val="02000000000000000000"/>
    <w:charset w:val="86"/>
    <w:family w:val="script"/>
    <w:pitch w:val="default"/>
    <w:sig w:usb0="A00002BF" w:usb1="38CF7CFA" w:usb2="00082016" w:usb3="00000000" w:csb0="00040001" w:csb1="00000000"/>
    <w:embedRegular r:id="rId3" w:fontKey="{DCF25619-0E94-40A3-8891-66E8243286FF}"/>
  </w:font>
  <w:font w:name="楷体_GB2312">
    <w:altName w:val="楷体"/>
    <w:panose1 w:val="00000000000000000000"/>
    <w:charset w:val="00"/>
    <w:family w:val="auto"/>
    <w:pitch w:val="default"/>
    <w:sig w:usb0="00000000" w:usb1="00000000" w:usb2="00000000" w:usb3="00000000" w:csb0="00000000" w:csb1="00000000"/>
    <w:embedRegular r:id="rId4" w:fontKey="{354151CE-334D-4E17-B254-E3BB665446CF}"/>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DC0EBD"/>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92597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4442</Words>
  <Characters>5107</Characters>
  <Lines>0</Lines>
  <Paragraphs>0</Paragraphs>
  <TotalTime>3</TotalTime>
  <ScaleCrop>false</ScaleCrop>
  <LinksUpToDate>false</LinksUpToDate>
  <CharactersWithSpaces>5115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2025-09-08T10:25:41Z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