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阿图什市红十字会</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阿图什市红十字会是以实行人道主义为宗旨，从事人道主义工作的社会救助团体、全国性人民卫生救助，遵循国家的卫生和社会福利工作方针，协助政府动员和组织人民开展群众性的卫生救护和社会福利活动。</w:t>
      </w:r>
    </w:p>
    <w:p>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宣传和执行《中华人民共和国红十字会法》和《中华人民共和国红十字标志使用办法》。</w:t>
      </w:r>
    </w:p>
    <w:p>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开展备灾救灾工作。在自然灾害和突发事件中，开展救护和救助工作；根据自然灾害和突发事件的具体情况，由总会向国内外发出呼吁，依法接受国内外组织和个人的捐赠；地方各级红十字会在辖区内发出呼吁，依法接受国内外组织和个人的捐赠；及时向灾区群众和受难者提供急需的人道援助，参与灾后重建。</w:t>
      </w:r>
    </w:p>
    <w:p>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开展应急救护和防病知识的宣传、普及、培训；在机关、企事业单位、社区、农村、学校和易发生意外伤害的行业和人群中开展初级卫生救护培训，组织群众参加意外伤害和自然灾害的现场救护；提高应急条件下的应急救助能力和水平。</w:t>
      </w:r>
    </w:p>
    <w:p>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建设和管理中国造血干细胞捐献者资料库；开展捐献造血干细胞的宣传动员、组织工作。</w:t>
      </w:r>
    </w:p>
    <w:p>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开展无偿献血的宣传推动工作，与各级人民政府共同对先进单位和个人进行表彰奖励。</w:t>
      </w:r>
    </w:p>
    <w:p>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开展社会救助及相关服务工作。对易受损人群进行救助，为困难群众提供服务；在社区、农村中建立红十字服务站，开展服务群众、宣传培训、募捐救助等活动；开展帮助寻找失散亲人、重建家庭联系等其他人道服务工作。</w:t>
      </w:r>
    </w:p>
    <w:p>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依法开展和推动遗体、器官（组织）捐献工作；开展</w:t>
      </w:r>
      <w:r>
        <w:rPr>
          <w:rFonts w:hint="eastAsia" w:ascii="仿宋_GB2312" w:hAnsi="仿宋_GB2312" w:eastAsia="仿宋_GB2312"/>
          <w:sz w:val="32"/>
          <w:lang w:eastAsia="zh-CN"/>
        </w:rPr>
        <w:t>AZB</w:t>
      </w:r>
      <w:r>
        <w:rPr>
          <w:rFonts w:ascii="仿宋_GB2312" w:hAnsi="仿宋_GB2312" w:eastAsia="仿宋_GB2312"/>
          <w:sz w:val="32"/>
        </w:rPr>
        <w:t>预防控制宣传和教育、关心爱护</w:t>
      </w:r>
      <w:r>
        <w:rPr>
          <w:rFonts w:hint="eastAsia" w:ascii="仿宋_GB2312" w:hAnsi="仿宋_GB2312" w:eastAsia="仿宋_GB2312"/>
          <w:sz w:val="32"/>
          <w:lang w:eastAsia="zh-CN"/>
        </w:rPr>
        <w:t>AZB</w:t>
      </w:r>
      <w:r>
        <w:rPr>
          <w:rFonts w:ascii="仿宋_GB2312" w:hAnsi="仿宋_GB2312" w:eastAsia="仿宋_GB2312"/>
          <w:sz w:val="32"/>
        </w:rPr>
        <w:t>病毒感染者、患者及其他人道救助工作。</w:t>
      </w:r>
    </w:p>
    <w:p>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开展有益于青少年身心健康的红十字青少年活动。</w:t>
      </w:r>
    </w:p>
    <w:p>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开展红十字志愿服务活动。</w:t>
      </w:r>
    </w:p>
    <w:p>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宣传国际</w:t>
      </w:r>
      <w:r>
        <w:rPr>
          <w:rFonts w:hint="eastAsia" w:ascii="仿宋_GB2312" w:hAnsi="仿宋_GB2312" w:eastAsia="仿宋_GB2312"/>
          <w:sz w:val="32"/>
          <w:lang w:val="en-US" w:eastAsia="zh-CN"/>
        </w:rPr>
        <w:t>rdf</w:t>
      </w:r>
      <w:r>
        <w:rPr>
          <w:rFonts w:ascii="仿宋_GB2312" w:hAnsi="仿宋_GB2312" w:eastAsia="仿宋_GB2312"/>
          <w:sz w:val="32"/>
        </w:rPr>
        <w:t>、红十字运动基本原则，总会承担中国国际</w:t>
      </w:r>
      <w:r>
        <w:rPr>
          <w:rFonts w:hint="eastAsia" w:ascii="仿宋_GB2312" w:hAnsi="仿宋_GB2312" w:eastAsia="仿宋_GB2312"/>
          <w:sz w:val="32"/>
          <w:lang w:val="en-US" w:eastAsia="zh-CN"/>
        </w:rPr>
        <w:t>rdf</w:t>
      </w:r>
      <w:r>
        <w:rPr>
          <w:rFonts w:ascii="仿宋_GB2312" w:hAnsi="仿宋_GB2312" w:eastAsia="仿宋_GB2312"/>
          <w:sz w:val="32"/>
        </w:rPr>
        <w:t>国家委员会秘书处的日常工作。</w:t>
      </w:r>
    </w:p>
    <w:p>
      <w:pPr>
        <w:spacing w:line="580" w:lineRule="exact"/>
        <w:ind w:firstLine="640"/>
        <w:jc w:val="both"/>
      </w:pPr>
      <w:r>
        <w:rPr>
          <w:rFonts w:hint="eastAsia" w:ascii="仿宋_GB2312" w:hAnsi="仿宋_GB2312" w:eastAsia="仿宋_GB2312"/>
          <w:sz w:val="32"/>
          <w:lang w:eastAsia="zh-CN"/>
        </w:rPr>
        <w:t>11.</w:t>
      </w:r>
      <w:r>
        <w:rPr>
          <w:rFonts w:ascii="仿宋_GB2312" w:hAnsi="仿宋_GB2312" w:eastAsia="仿宋_GB2312"/>
          <w:sz w:val="32"/>
        </w:rPr>
        <w:t>依法开展募捐活动；在公共场所设置红十字募捐箱并进行管理；依照法律法规自主处分募捐款物。</w:t>
      </w:r>
    </w:p>
    <w:p>
      <w:pPr>
        <w:spacing w:line="580" w:lineRule="exact"/>
        <w:ind w:firstLine="640"/>
        <w:jc w:val="both"/>
      </w:pPr>
      <w:r>
        <w:rPr>
          <w:rFonts w:hint="eastAsia" w:ascii="仿宋_GB2312" w:hAnsi="仿宋_GB2312" w:eastAsia="仿宋_GB2312"/>
          <w:sz w:val="32"/>
          <w:lang w:eastAsia="zh-CN"/>
        </w:rPr>
        <w:t>12.</w:t>
      </w:r>
      <w:r>
        <w:rPr>
          <w:rFonts w:ascii="仿宋_GB2312" w:hAnsi="仿宋_GB2312" w:eastAsia="仿宋_GB2312"/>
          <w:sz w:val="32"/>
        </w:rPr>
        <w:t>兴办符合红十字会宗旨的社会福利事业。</w:t>
      </w:r>
    </w:p>
    <w:p>
      <w:pPr>
        <w:spacing w:line="580" w:lineRule="exact"/>
        <w:ind w:firstLine="640"/>
        <w:jc w:val="both"/>
      </w:pPr>
      <w:r>
        <w:rPr>
          <w:rFonts w:hint="eastAsia" w:ascii="仿宋_GB2312" w:hAnsi="仿宋_GB2312" w:eastAsia="仿宋_GB2312"/>
          <w:sz w:val="32"/>
          <w:lang w:eastAsia="zh-CN"/>
        </w:rPr>
        <w:t>13.</w:t>
      </w:r>
      <w:r>
        <w:rPr>
          <w:rFonts w:ascii="仿宋_GB2312" w:hAnsi="仿宋_GB2312" w:eastAsia="仿宋_GB2312"/>
          <w:sz w:val="32"/>
        </w:rPr>
        <w:t>参加国际人道救援工作；开展与国际红十字</w:t>
      </w:r>
      <w:r>
        <w:rPr>
          <w:rFonts w:hint="eastAsia" w:ascii="仿宋_GB2312" w:hAnsi="仿宋_GB2312" w:eastAsia="仿宋_GB2312"/>
          <w:sz w:val="32"/>
          <w:lang w:val="en-US" w:eastAsia="zh-CN"/>
        </w:rPr>
        <w:t>会</w:t>
      </w:r>
      <w:r>
        <w:rPr>
          <w:rFonts w:ascii="仿宋_GB2312" w:hAnsi="仿宋_GB2312" w:eastAsia="仿宋_GB2312"/>
          <w:sz w:val="32"/>
        </w:rPr>
        <w:t>组织和各国红十字会或红新月会及其他国际组织的交流与合作。</w:t>
      </w:r>
    </w:p>
    <w:p>
      <w:pPr>
        <w:spacing w:line="580" w:lineRule="exact"/>
        <w:ind w:firstLine="640"/>
        <w:jc w:val="both"/>
      </w:pPr>
      <w:r>
        <w:rPr>
          <w:rFonts w:hint="eastAsia" w:ascii="仿宋_GB2312" w:hAnsi="仿宋_GB2312" w:eastAsia="仿宋_GB2312"/>
          <w:sz w:val="32"/>
          <w:lang w:eastAsia="zh-CN"/>
        </w:rPr>
        <w:t>14.</w:t>
      </w:r>
      <w:r>
        <w:rPr>
          <w:rFonts w:ascii="仿宋_GB2312" w:hAnsi="仿宋_GB2312" w:eastAsia="仿宋_GB2312"/>
          <w:sz w:val="32"/>
        </w:rPr>
        <w:t>完成人民政府委托事宜。根据自治州红十字会规划及红十字事业发展需要，</w:t>
      </w:r>
      <w:r>
        <w:rPr>
          <w:rFonts w:hint="eastAsia" w:ascii="仿宋_GB2312" w:hAnsi="仿宋_GB2312" w:eastAsia="仿宋_GB2312"/>
          <w:sz w:val="32"/>
          <w:lang w:eastAsia="zh-CN"/>
        </w:rPr>
        <w:t>按照</w:t>
      </w:r>
      <w:r>
        <w:rPr>
          <w:rFonts w:ascii="仿宋_GB2312" w:hAnsi="仿宋_GB2312" w:eastAsia="仿宋_GB2312"/>
          <w:sz w:val="32"/>
        </w:rPr>
        <w:t>自治区有关文件要求，结合本单位实际工作职能、按照年度工作计划，开展业务费用项目。</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阿图什市红十字会2024年度，实有人数5人，其中：在职人员3人，增加0人；离休人员0人，增加0人；退休人员2人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阿图什市红十字会无下属预算单位，下设2个科室，分别是：书记室、综合科。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2024年度收入总计257.38万元，</w:t>
      </w:r>
      <w:r>
        <w:rPr>
          <w:rFonts w:ascii="仿宋_GB2312" w:hAnsi="仿宋_GB2312" w:eastAsia="仿宋_GB2312"/>
          <w:b w:val="0"/>
          <w:sz w:val="32"/>
        </w:rPr>
        <w:t>其中：本年收入合计256.30万元，使用非财政拨款结余（含专用结余）0.00万元，年初结转和结余1.08万元。</w:t>
      </w:r>
    </w:p>
    <w:p>
      <w:pPr>
        <w:spacing w:line="580" w:lineRule="exact"/>
        <w:ind w:firstLine="640"/>
        <w:jc w:val="both"/>
      </w:pPr>
      <w:r>
        <w:rPr>
          <w:rFonts w:ascii="仿宋_GB2312" w:hAnsi="仿宋_GB2312" w:eastAsia="仿宋_GB2312"/>
          <w:b/>
          <w:sz w:val="32"/>
        </w:rPr>
        <w:t>2024年度支出总计257.38万元，</w:t>
      </w:r>
      <w:r>
        <w:rPr>
          <w:rFonts w:ascii="仿宋_GB2312" w:hAnsi="仿宋_GB2312" w:eastAsia="仿宋_GB2312"/>
          <w:b w:val="0"/>
          <w:sz w:val="32"/>
        </w:rPr>
        <w:t>其中：本年支出合计58.86万元，结余分配0.00万元，年末结转和结余198.52万元。</w:t>
      </w:r>
    </w:p>
    <w:p>
      <w:pPr>
        <w:spacing w:line="580" w:lineRule="exact"/>
        <w:ind w:firstLine="640"/>
        <w:jc w:val="both"/>
        <w:rPr>
          <w:rFonts w:hint="default"/>
          <w:lang w:val="en-US"/>
        </w:rPr>
      </w:pPr>
      <w:r>
        <w:rPr>
          <w:rFonts w:ascii="仿宋_GB2312" w:hAnsi="仿宋_GB2312" w:eastAsia="仿宋_GB2312"/>
          <w:b w:val="0"/>
          <w:sz w:val="32"/>
        </w:rPr>
        <w:t>收入支出总体与上年相比，增加197.32万元，增长328.54%，主要原因是：本年</w:t>
      </w:r>
      <w:r>
        <w:rPr>
          <w:rFonts w:hint="eastAsia" w:ascii="仿宋_GB2312" w:hAnsi="仿宋_GB2312" w:eastAsia="仿宋_GB2312"/>
          <w:b w:val="0"/>
          <w:sz w:val="32"/>
          <w:lang w:val="en-US" w:eastAsia="zh-CN"/>
        </w:rPr>
        <w:t>增加博爱家园工作补助用于支付农民生计金、“五八”活动奖励金，导致相关经费增加。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本年收入256.30万元，</w:t>
      </w:r>
      <w:r>
        <w:rPr>
          <w:rFonts w:ascii="仿宋_GB2312" w:hAnsi="仿宋_GB2312" w:eastAsia="仿宋_GB2312"/>
          <w:b w:val="0"/>
          <w:sz w:val="32"/>
        </w:rPr>
        <w:t>其中：财政拨款收入58.69万元，占22.90%；上级补助收入0.00万元，占0.00%；事业收入0.00万元，占0.00%；经营收入0.00万元，占0.00%；附属单位上缴收入0.00万元，占0.00%；其他收入197.61万元，占77.10%。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本年支出58.86万元，</w:t>
      </w:r>
      <w:r>
        <w:rPr>
          <w:rFonts w:ascii="仿宋_GB2312" w:hAnsi="仿宋_GB2312" w:eastAsia="仿宋_GB2312"/>
          <w:b w:val="0"/>
          <w:sz w:val="32"/>
        </w:rPr>
        <w:t>其中：基本支出58.86万元，占100.00%；项目支出0.00万元，占0.00%；上缴上级支出0.00万元，占0.00%；经营支出0.00万元，占0.00%；对附属单位补助支出0.00万元，占0.00%。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2024年度财政拨款收入总计58.69万元，</w:t>
      </w:r>
      <w:r>
        <w:rPr>
          <w:rFonts w:ascii="仿宋_GB2312" w:hAnsi="仿宋_GB2312" w:eastAsia="仿宋_GB2312"/>
          <w:b w:val="0"/>
          <w:sz w:val="32"/>
        </w:rPr>
        <w:t>其中：年初财政拨款结转和结余0.00万元，本年财政拨款收入58.69万元。</w:t>
      </w:r>
      <w:r>
        <w:rPr>
          <w:rFonts w:ascii="仿宋_GB2312" w:hAnsi="仿宋_GB2312" w:eastAsia="仿宋_GB2312"/>
          <w:b/>
          <w:sz w:val="32"/>
        </w:rPr>
        <w:t>财政拨款支出总计58.69万元，</w:t>
      </w:r>
      <w:r>
        <w:rPr>
          <w:rFonts w:ascii="仿宋_GB2312" w:hAnsi="仿宋_GB2312" w:eastAsia="仿宋_GB2312"/>
          <w:b w:val="0"/>
          <w:sz w:val="32"/>
        </w:rPr>
        <w:t>其中：年末财政拨款结转和结余0.00万元，本年财政拨款支出58.69万元。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增加0.09万元，增长0.15%，主要原因是：本年在职人员工资调增，社保、公积金基数调增，人员经费增加。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年初预算数63.33万元，决算数58.69万元，预决算差异率-7.33%，主要原因是：严格落实</w:t>
      </w:r>
      <w:r>
        <w:rPr>
          <w:rFonts w:hint="eastAsia" w:ascii="仿宋_GB2312" w:hAnsi="仿宋_GB2312" w:eastAsia="仿宋_GB2312"/>
          <w:b w:val="0"/>
          <w:sz w:val="32"/>
          <w:lang w:eastAsia="zh-CN"/>
        </w:rPr>
        <w:t>中央八项规定</w:t>
      </w:r>
      <w:r>
        <w:rPr>
          <w:rFonts w:ascii="仿宋_GB2312" w:hAnsi="仿宋_GB2312" w:eastAsia="仿宋_GB2312"/>
          <w:b w:val="0"/>
          <w:sz w:val="32"/>
        </w:rPr>
        <w:t>精神，厉行节约，减少不必要的开支。</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2024年度一般公共预算财政拨款支出58.69万元，</w:t>
      </w:r>
      <w:r>
        <w:rPr>
          <w:rFonts w:ascii="仿宋_GB2312" w:hAnsi="仿宋_GB2312" w:eastAsia="仿宋_GB2312"/>
          <w:b w:val="0"/>
          <w:sz w:val="32"/>
        </w:rPr>
        <w:t>占本年支出合计的99.71%。</w:t>
      </w:r>
      <w:r>
        <w:rPr>
          <w:rFonts w:ascii="仿宋_GB2312" w:hAnsi="仿宋_GB2312" w:eastAsia="仿宋_GB2312"/>
          <w:b/>
          <w:sz w:val="32"/>
        </w:rPr>
        <w:t>与上年相比，</w:t>
      </w:r>
      <w:r>
        <w:rPr>
          <w:rFonts w:ascii="仿宋_GB2312" w:hAnsi="仿宋_GB2312" w:eastAsia="仿宋_GB2312"/>
          <w:b w:val="0"/>
          <w:sz w:val="32"/>
        </w:rPr>
        <w:t>增加0.09万元，增长0.15%，主要原因是：本年在职人员工资调增，社保、公积金基数调增，人员经费增加。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年初预算数63.33万元，决算数58.69万元，预决算差异率-7.33%，主要原因是：严格落实</w:t>
      </w:r>
      <w:r>
        <w:rPr>
          <w:rFonts w:hint="eastAsia" w:ascii="仿宋_GB2312" w:hAnsi="仿宋_GB2312" w:eastAsia="仿宋_GB2312"/>
          <w:b w:val="0"/>
          <w:sz w:val="32"/>
          <w:lang w:eastAsia="zh-CN"/>
        </w:rPr>
        <w:t>中央八项规定</w:t>
      </w:r>
      <w:r>
        <w:rPr>
          <w:rFonts w:ascii="仿宋_GB2312" w:hAnsi="仿宋_GB2312" w:eastAsia="仿宋_GB2312"/>
          <w:b w:val="0"/>
          <w:sz w:val="32"/>
        </w:rPr>
        <w:t>精神，厉行节约，减少不必要的开支。</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1.社会保障和就业支出(类)52.00万元</w:t>
      </w:r>
      <w:r>
        <w:rPr>
          <w:rFonts w:hint="eastAsia" w:ascii="仿宋_GB2312" w:hAnsi="仿宋_GB2312" w:eastAsia="仿宋_GB2312"/>
          <w:b w:val="0"/>
          <w:sz w:val="32"/>
          <w:lang w:eastAsia="zh-CN"/>
        </w:rPr>
        <w:t>，</w:t>
      </w:r>
      <w:r>
        <w:rPr>
          <w:rFonts w:ascii="仿宋_GB2312" w:hAnsi="仿宋_GB2312" w:eastAsia="仿宋_GB2312"/>
          <w:b w:val="0"/>
          <w:sz w:val="32"/>
        </w:rPr>
        <w:t>占88.60%。</w:t>
      </w:r>
    </w:p>
    <w:p>
      <w:pPr>
        <w:spacing w:line="580" w:lineRule="exact"/>
        <w:ind w:firstLine="640"/>
        <w:jc w:val="both"/>
      </w:pPr>
      <w:r>
        <w:rPr>
          <w:rFonts w:ascii="仿宋_GB2312" w:hAnsi="仿宋_GB2312" w:eastAsia="仿宋_GB2312"/>
          <w:b w:val="0"/>
          <w:sz w:val="32"/>
        </w:rPr>
        <w:t>2.卫生健康支出(类)2.19万元</w:t>
      </w:r>
      <w:r>
        <w:rPr>
          <w:rFonts w:hint="eastAsia" w:ascii="仿宋_GB2312" w:hAnsi="仿宋_GB2312" w:eastAsia="仿宋_GB2312"/>
          <w:b w:val="0"/>
          <w:sz w:val="32"/>
          <w:lang w:eastAsia="zh-CN"/>
        </w:rPr>
        <w:t>，</w:t>
      </w:r>
      <w:r>
        <w:rPr>
          <w:rFonts w:ascii="仿宋_GB2312" w:hAnsi="仿宋_GB2312" w:eastAsia="仿宋_GB2312"/>
          <w:b w:val="0"/>
          <w:sz w:val="32"/>
        </w:rPr>
        <w:t>占3.73%。</w:t>
      </w:r>
    </w:p>
    <w:p>
      <w:pPr>
        <w:spacing w:line="580" w:lineRule="exact"/>
        <w:ind w:firstLine="640"/>
        <w:jc w:val="both"/>
      </w:pPr>
      <w:r>
        <w:rPr>
          <w:rFonts w:ascii="仿宋_GB2312" w:hAnsi="仿宋_GB2312" w:eastAsia="仿宋_GB2312"/>
          <w:b w:val="0"/>
          <w:sz w:val="32"/>
        </w:rPr>
        <w:t>3.住房保障支出(类)4.50万元</w:t>
      </w:r>
      <w:r>
        <w:rPr>
          <w:rFonts w:hint="eastAsia" w:ascii="仿宋_GB2312" w:hAnsi="仿宋_GB2312" w:eastAsia="仿宋_GB2312"/>
          <w:b w:val="0"/>
          <w:sz w:val="32"/>
          <w:lang w:eastAsia="zh-CN"/>
        </w:rPr>
        <w:t>，</w:t>
      </w:r>
      <w:r>
        <w:rPr>
          <w:rFonts w:ascii="仿宋_GB2312" w:hAnsi="仿宋_GB2312" w:eastAsia="仿宋_GB2312"/>
          <w:b w:val="0"/>
          <w:sz w:val="32"/>
        </w:rPr>
        <w:t>占7.67%。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1.社会保障和就业支出(类)人力资源和社会保障管理事务(款)行政运行(项)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支出决算数为0.55万元，比上年决算增加0.55万元，增长100.00%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主要原因是：本年增加办公费，导致此科目经费增加。</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支出决算数为3.11万元，比上年决算增加0.44万元，增长16.48%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支出决算数为5.57万元，比上年决算增加0.60万元，增长12.07%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4.社会保障和就业支出(类)红十字事业(款)行政运行(项)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支出决算数为42.77万元，比上年决算减少0.68万元，下降1.57%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主要原因是：本年减少邮电费、差旅费、委托业务费、公务用车运行维护费。</w:t>
      </w:r>
    </w:p>
    <w:p>
      <w:pPr>
        <w:spacing w:line="580" w:lineRule="exact"/>
        <w:ind w:firstLine="640"/>
        <w:jc w:val="both"/>
      </w:pPr>
      <w:r>
        <w:rPr>
          <w:rFonts w:ascii="仿宋_GB2312" w:hAnsi="仿宋_GB2312" w:eastAsia="仿宋_GB2312"/>
          <w:b w:val="0"/>
          <w:sz w:val="32"/>
        </w:rPr>
        <w:t>5.卫生健康支出(类)行政事业单位医疗(款)行政单位医疗(项)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支出决算数为2.19万元，比上年决算减少1.10万元，下降33.43%</w:t>
      </w:r>
      <w:r>
        <w:rPr>
          <w:rFonts w:hint="eastAsia" w:ascii="仿宋_GB2312" w:hAnsi="仿宋_GB2312" w:eastAsia="仿宋_GB2312"/>
          <w:b w:val="0"/>
          <w:sz w:val="32"/>
          <w:lang w:eastAsia="zh-CN"/>
        </w:rPr>
        <w:t>，</w:t>
      </w:r>
      <w:r>
        <w:rPr>
          <w:rFonts w:ascii="仿宋_GB2312" w:hAnsi="仿宋_GB2312" w:eastAsia="仿宋_GB2312"/>
          <w:b w:val="0"/>
          <w:sz w:val="32"/>
        </w:rPr>
        <w:t>主要原因是：因退休人员医疗保险制度改革，退休人员基本医疗</w:t>
      </w:r>
      <w:r>
        <w:rPr>
          <w:rFonts w:hint="eastAsia" w:ascii="仿宋_GB2312" w:hAnsi="仿宋_GB2312" w:eastAsia="仿宋_GB2312"/>
          <w:b w:val="0"/>
          <w:sz w:val="32"/>
          <w:lang w:val="en-US" w:eastAsia="zh-CN"/>
        </w:rPr>
        <w:t>保险</w:t>
      </w:r>
      <w:r>
        <w:rPr>
          <w:rFonts w:ascii="仿宋_GB2312" w:hAnsi="仿宋_GB2312" w:eastAsia="仿宋_GB2312"/>
          <w:b w:val="0"/>
          <w:sz w:val="32"/>
        </w:rPr>
        <w:t>不再由单位缴纳，导致经费较上年减少。</w:t>
      </w:r>
    </w:p>
    <w:p>
      <w:pPr>
        <w:spacing w:line="580" w:lineRule="exact"/>
        <w:ind w:firstLine="640"/>
        <w:jc w:val="both"/>
      </w:pPr>
      <w:r>
        <w:rPr>
          <w:rFonts w:ascii="仿宋_GB2312" w:hAnsi="仿宋_GB2312" w:eastAsia="仿宋_GB2312"/>
          <w:b w:val="0"/>
          <w:sz w:val="32"/>
        </w:rPr>
        <w:t>6.住房保障支出(类)住房改革支出(款)住房公积金(项)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支出决算数为4.50万元，比上年决算增加0.28万元，增长6.64%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2024年度一般公共预算财政拨款基本支出58.69万元，其中：</w:t>
      </w:r>
      <w:r>
        <w:rPr>
          <w:rFonts w:ascii="仿宋_GB2312" w:hAnsi="仿宋_GB2312" w:eastAsia="仿宋_GB2312"/>
          <w:b/>
          <w:sz w:val="32"/>
        </w:rPr>
        <w:t>人员经费57.69万元，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公用经费1.00万元，</w:t>
      </w:r>
      <w:r>
        <w:rPr>
          <w:rFonts w:ascii="仿宋_GB2312" w:hAnsi="仿宋_GB2312" w:eastAsia="仿宋_GB2312"/>
          <w:b w:val="0"/>
          <w:sz w:val="32"/>
        </w:rPr>
        <w:t>包括：办公费。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0.60万元，下降100.00%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0.00万元，占0.00%，比上年减少0.60万元，下降100.00%，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w:t>
      </w:r>
      <w:r>
        <w:rPr>
          <w:rFonts w:hint="eastAsia" w:ascii="仿宋_GB2312" w:hAnsi="仿宋_GB2312" w:eastAsia="仿宋_GB2312"/>
          <w:b w:val="0"/>
          <w:sz w:val="32"/>
          <w:lang w:val="en-US" w:eastAsia="zh-CN"/>
        </w:rPr>
        <w:t>次</w:t>
      </w:r>
      <w:r>
        <w:rPr>
          <w:rFonts w:ascii="仿宋_GB2312" w:hAnsi="仿宋_GB2312" w:eastAsia="仿宋_GB2312"/>
          <w:b w:val="0"/>
          <w:sz w:val="32"/>
        </w:rPr>
        <w:t>，因公出国（境）0人次。</w:t>
      </w:r>
    </w:p>
    <w:p>
      <w:pPr>
        <w:spacing w:line="580" w:lineRule="exact"/>
        <w:ind w:firstLine="640"/>
        <w:jc w:val="both"/>
        <w:rPr>
          <w:rFonts w:hint="default" w:ascii="仿宋_GB2312" w:hAnsi="仿宋_GB2312" w:eastAsia="仿宋_GB2312"/>
          <w:b w:val="0"/>
          <w:sz w:val="32"/>
          <w:lang w:val="en-US" w:eastAsia="zh-CN"/>
        </w:rPr>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w:t>
      </w:r>
      <w:r>
        <w:rPr>
          <w:rFonts w:hint="eastAsia" w:ascii="仿宋_GB2312" w:hAnsi="仿宋_GB2312" w:eastAsia="仿宋_GB2312"/>
          <w:b w:val="0"/>
          <w:sz w:val="32"/>
          <w:lang w:val="en-US" w:eastAsia="zh-CN"/>
        </w:rPr>
        <w:t>单位业务用车</w:t>
      </w:r>
      <w:r>
        <w:rPr>
          <w:rFonts w:ascii="仿宋_GB2312" w:hAnsi="仿宋_GB2312" w:eastAsia="仿宋_GB2312"/>
          <w:b w:val="0"/>
          <w:sz w:val="32"/>
        </w:rPr>
        <w:t>，</w:t>
      </w:r>
      <w:r>
        <w:rPr>
          <w:rFonts w:hint="eastAsia" w:ascii="仿宋_GB2312" w:hAnsi="仿宋_GB2312" w:eastAsia="仿宋_GB2312"/>
          <w:b w:val="0"/>
          <w:sz w:val="32"/>
          <w:lang w:val="en-US" w:eastAsia="zh-CN"/>
        </w:rPr>
        <w:t>未使用财政拨款“三公”经费</w:t>
      </w:r>
      <w:bookmarkStart w:id="0" w:name="_GoBack"/>
      <w:bookmarkEnd w:id="0"/>
      <w:r>
        <w:rPr>
          <w:rFonts w:hint="eastAsia" w:ascii="仿宋_GB2312" w:hAnsi="仿宋_GB2312" w:eastAsia="仿宋_GB2312"/>
          <w:b w:val="0"/>
          <w:sz w:val="32"/>
          <w:lang w:val="en-US" w:eastAsia="zh-CN"/>
        </w:rPr>
        <w:t>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红十字会（行政单位和参照公务员法管理事业单位）机关运行经费支出1.00万元，比上年减少1.90万元，下降65.52%，主要原因是：本年减少邮电费、差旅费、委托业务费、公务用车运行维护费，导致机关运行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2024年度政府采购支出总额0.77万元，其中：政府采购货物支出0.10万元、政府采购工程支出0.00万元、政府采购服务支出0.67万元。</w:t>
      </w:r>
    </w:p>
    <w:p>
      <w:pPr>
        <w:spacing w:line="580" w:lineRule="exact"/>
        <w:ind w:firstLine="640"/>
        <w:jc w:val="both"/>
      </w:pPr>
      <w:r>
        <w:rPr>
          <w:rFonts w:ascii="仿宋_GB2312" w:hAnsi="仿宋_GB2312" w:eastAsia="仿宋_GB2312"/>
          <w:b w:val="0"/>
          <w:sz w:val="32"/>
        </w:rPr>
        <w:t>授予中小企业合同金额0.77万元，占政府采购支出总额的100.00%，其中：授予小微企业合同金额0.77万元，占政府采购支出总额的100.00%。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100.00平方米，价值14.93万元。车辆1辆，价值3.85万元，其中：副部（省）级及以上领导用车0辆、主要负责人用车0辆、机要通信用车0辆、应急保障用车0辆、执勤用车0辆、特种专业技术用车0辆、离退休干部服务用车0辆、其他用车1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257.38万元，实际执行总额58.86万元；预算绩效评价项目1个，全年预算数3.00万元，全年执行数0.55万元。预算绩效管理取得的成效：</w:t>
      </w:r>
      <w:r>
        <w:rPr>
          <w:rFonts w:hint="eastAsia" w:ascii="仿宋_GB2312" w:hAnsi="仿宋_GB2312" w:eastAsia="仿宋_GB2312"/>
          <w:b w:val="0"/>
          <w:sz w:val="32"/>
          <w:lang w:val="en-US" w:eastAsia="zh-CN"/>
        </w:rPr>
        <w:t>一是确保资金的高效使用，切实发挥财政资金的使用效果。二是严格按照工作职责和相关文件依据，确保专款专用。三是严格控制资金的流出方向，确保资金的合规性。</w:t>
      </w:r>
      <w:r>
        <w:rPr>
          <w:rFonts w:ascii="仿宋_GB2312" w:hAnsi="仿宋_GB2312" w:eastAsia="仿宋_GB2312"/>
          <w:b w:val="0"/>
          <w:sz w:val="32"/>
        </w:rPr>
        <w:t>发现的问题及原因：一是执行力度不足：认为预算编制完成后，预算工作就结束了，并未将预算贯彻始终，财政没有按时拨付资金，使得预算执行存在随意性，进而导致资金使用不够合理，未能充分发挥预算作用。二是原因分析绩效自评包含项目自评等内容，项目经办人员未能参与到绩效工作业务培训中来，对预算绩效工作重视度不够。三是执行进度不均衡：部分项目未按期开工、预算执行进度较慢；而年底又可能出现突击花钱，虚列支出的情况。下一步改进措施：（1）健全管理制度：进一步完善预算绩效管理制度，明确各部门在预算绩效管理中的职责和工作流程，确保预算绩效管理工作有章可循。（2）结合自身实际，制定与国家规范相符的预算管理流程，成立专业的预算绩效管理小组，指导和推进相关工作。（3）科学设定目标：结合单位职能、中长期规划、年度工作计划等，充分征求各部门意见，科学设定短期和长期预算绩效目标，明确项目绩效目标与整体绩效目标。（4）细化绩效指标：基于多元数据和多维视角，运用因素分析法、标杆管理法等，细化绩效目标和指标，使预算绩效评价指标更加准确、客观。具体附整体支出绩效自评表，项目支出绩效自评表和评价报告。</w:t>
      </w:r>
    </w:p>
    <w:p>
      <w:r>
        <w:br w:type="page"/>
      </w:r>
    </w:p>
    <w:tbl>
      <w:tblPr>
        <w:tblStyle w:val="11"/>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阿图什市红十字会</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257.38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eastAsia="宋体"/>
                <w:sz w:val="16"/>
              </w:rPr>
              <w:t>2.29</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257.38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单位基本职能：阿图什市红十字会是阿图什市党委和政府在人道领域的助手和联系群众的桥梁纽带。阿图什市红十字会在各领域积极开展人道救助，自觉围绕阿图什市各项中心工作任务，认真学习</w:t>
            </w:r>
            <w:r>
              <w:rPr>
                <w:rFonts w:hint="eastAsia" w:ascii="宋体" w:hAnsi="宋体"/>
                <w:sz w:val="16"/>
                <w:lang w:eastAsia="zh-CN"/>
              </w:rPr>
              <w:t>党的十九届五中全会和</w:t>
            </w:r>
            <w:r>
              <w:rPr>
                <w:rFonts w:ascii="宋体" w:hAnsi="宋体" w:eastAsia="宋体"/>
                <w:sz w:val="16"/>
              </w:rPr>
              <w:t xml:space="preserve">第三次中央新疆工作座谈会精神，重点落实“三救三献”“博爱家园”等工作。 </w:t>
            </w:r>
            <w:r>
              <w:rPr>
                <w:rFonts w:ascii="宋体" w:hAnsi="宋体" w:eastAsia="宋体"/>
                <w:sz w:val="16"/>
              </w:rPr>
              <w:br w:type="textWrapping"/>
            </w:r>
            <w:r>
              <w:rPr>
                <w:rFonts w:ascii="宋体" w:hAnsi="宋体" w:eastAsia="宋体"/>
                <w:sz w:val="16"/>
              </w:rPr>
              <w:t xml:space="preserve">机构设置及人员配置：无下属预算单位，编制数3，实有人数5人，在职3人，退休2人。 </w:t>
            </w:r>
            <w:r>
              <w:rPr>
                <w:rFonts w:ascii="宋体" w:hAnsi="宋体" w:eastAsia="宋体"/>
                <w:sz w:val="16"/>
              </w:rPr>
              <w:br w:type="textWrapping"/>
            </w:r>
            <w:r>
              <w:rPr>
                <w:rFonts w:ascii="宋体" w:hAnsi="宋体" w:eastAsia="宋体"/>
                <w:sz w:val="16"/>
              </w:rPr>
              <w:t>中长期规划：加强应急救援能力建设，服务国家应急工作大局；积极参与国际人道事务，有力</w:t>
            </w:r>
            <w:r>
              <w:rPr>
                <w:rFonts w:hint="eastAsia" w:ascii="宋体" w:hAnsi="宋体"/>
                <w:sz w:val="16"/>
                <w:lang w:eastAsia="zh-CN"/>
              </w:rPr>
              <w:t>促进</w:t>
            </w:r>
            <w:r>
              <w:rPr>
                <w:rFonts w:ascii="宋体" w:hAnsi="宋体" w:eastAsia="宋体"/>
                <w:sz w:val="16"/>
              </w:rPr>
              <w:t xml:space="preserve">民心相通；加强红十字运动研究。 </w:t>
            </w:r>
            <w:r>
              <w:rPr>
                <w:rFonts w:ascii="宋体" w:hAnsi="宋体" w:eastAsia="宋体"/>
                <w:sz w:val="16"/>
              </w:rPr>
              <w:br w:type="textWrapping"/>
            </w:r>
            <w:r>
              <w:rPr>
                <w:rFonts w:ascii="宋体" w:hAnsi="宋体" w:eastAsia="宋体"/>
                <w:sz w:val="16"/>
              </w:rPr>
              <w:t>保障单位在职3人，退休2人的工资福利及各项补助正常发放及部门正常运转，确保1辆公务车辆的正常运行及日常工作正常开展。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单位共计支出58.86万元，用于保障部门在职3人，退休2人的工资福利、各项补助正常发放及部门单位正常运转，单位预算项目根据年初计划均已完成，加强应急救援能力建设，服务国家应急工作大局；积极参与国际人道事务，有力</w:t>
            </w:r>
            <w:r>
              <w:rPr>
                <w:rFonts w:hint="eastAsia" w:ascii="宋体" w:hAnsi="宋体"/>
                <w:sz w:val="16"/>
                <w:lang w:eastAsia="zh-CN"/>
              </w:rPr>
              <w:t>促进</w:t>
            </w:r>
            <w:r>
              <w:rPr>
                <w:rFonts w:ascii="宋体" w:hAnsi="宋体" w:eastAsia="宋体"/>
                <w:sz w:val="16"/>
              </w:rPr>
              <w:t xml:space="preserve">民心相通；加强红十字运动研究，年度任务中完成组建红十字应急救护志愿队伍1个，开展应急救护知识培训5次，参加应急救护知识培训人数200人等目标。 </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组建红十字应急救护志愿队伍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开展应急救护知识培训场次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参加应急救护知识培训人数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rPr>
          <w:trHeight w:val="620" w:hRule="atLeast"/>
        </w:trPr>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无偿献血及器官捐献宣传覆盖率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开展应急救护培训普及率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1"/>
        <w:tblW w:w="905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2024年业务经费项目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阿图什市红十字会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阿图什市红十字会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0.55</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0.55</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根据《关于进一步促进红十字事业发展的意见》新政发</w:t>
            </w:r>
            <w:r>
              <w:rPr>
                <w:rFonts w:hint="eastAsia" w:ascii="宋体" w:hAnsi="宋体"/>
                <w:sz w:val="16"/>
                <w:lang w:eastAsia="zh-CN"/>
              </w:rPr>
              <w:t>〔2013〕93号</w:t>
            </w:r>
            <w:r>
              <w:rPr>
                <w:rFonts w:ascii="宋体" w:hAnsi="宋体" w:eastAsia="宋体"/>
                <w:sz w:val="16"/>
              </w:rPr>
              <w:t>中的第六、十六条，将红十字会各项事业经费列入财政预算，2024年度本项目计划投入资金3万元，主要用于组织应急救护知识培训5场次、参加人数200多人、购买办公用品1批，交电话费，订报刊费，购买慰问用品等。通过项目的实施可促进社会稳定，全面提升全市广大群众的防灾减灾能力及应急救护水平，更好地推动全市减灾创业行动。</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0.5543万元，用于组织应急救护知识培训5场次、参加人数200多人、购买办公用品1批，交电话费，订报刊费，购买慰问用品等；通过实施本项目可促进社会稳定，全面提升全市广大群众的防灾减灾能力及应急救护水平，更好地推动全市减灾创业行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组织应急救护知识培训场次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参加培训人数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培训人员出勤率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组织应急救护知识培训成本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购买办公用品、耗材、慰问品成本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=0.5543万元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办公设备维修、维护费用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保障日常工作正常运转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F6CFB78-9FCC-4E77-9DB2-1F473F40587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55647D63-D378-4875-8A4B-54B20D6859D4}"/>
  </w:font>
  <w:font w:name="仿宋_GB2312">
    <w:panose1 w:val="02010609030101010101"/>
    <w:charset w:val="86"/>
    <w:family w:val="modern"/>
    <w:pitch w:val="default"/>
    <w:sig w:usb0="00000001" w:usb1="080E0000" w:usb2="00000000" w:usb3="00000000" w:csb0="00040000" w:csb1="00000000"/>
    <w:embedRegular r:id="rId3" w:fontKey="{95AADFFC-27AA-47EC-90E6-52935A169924}"/>
  </w:font>
  <w:font w:name="楷体_GB2312">
    <w:panose1 w:val="02010609030101010101"/>
    <w:charset w:val="86"/>
    <w:family w:val="auto"/>
    <w:pitch w:val="default"/>
    <w:sig w:usb0="00000001" w:usb1="080E0000" w:usb2="00000000" w:usb3="00000000" w:csb0="00040000" w:csb1="00000000"/>
    <w:embedRegular r:id="rId4" w:fontKey="{CAACA2EE-0C04-4083-A1E9-DA033C2D4C3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CE3A8C"/>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1A05E5"/>
    <w:rsid w:val="21F317F2"/>
    <w:rsid w:val="2241392C"/>
    <w:rsid w:val="225558E0"/>
    <w:rsid w:val="22CD76F3"/>
    <w:rsid w:val="23BC04D2"/>
    <w:rsid w:val="25275618"/>
    <w:rsid w:val="27CE017C"/>
    <w:rsid w:val="27CF2642"/>
    <w:rsid w:val="282459E2"/>
    <w:rsid w:val="29116777"/>
    <w:rsid w:val="29E84F26"/>
    <w:rsid w:val="2A053397"/>
    <w:rsid w:val="2A126E01"/>
    <w:rsid w:val="2A444FB1"/>
    <w:rsid w:val="2A6064E2"/>
    <w:rsid w:val="2C1965E9"/>
    <w:rsid w:val="2D1136DF"/>
    <w:rsid w:val="2DAE0E44"/>
    <w:rsid w:val="2FD27414"/>
    <w:rsid w:val="302C57F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3F3420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4024D1"/>
    <w:rsid w:val="795A0A34"/>
    <w:rsid w:val="7A0D3BC7"/>
    <w:rsid w:val="7A3A3CDB"/>
    <w:rsid w:val="7BE67A3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5253</Words>
  <Characters>5894</Characters>
  <Lines>0</Lines>
  <Paragraphs>0</Paragraphs>
  <TotalTime>0</TotalTime>
  <ScaleCrop>false</ScaleCrop>
  <LinksUpToDate>false</LinksUpToDate>
  <CharactersWithSpaces>5902</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2025-11-05T13:03:27Z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