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D9F49F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52ECB81">
      <w:r>
        <w:br w:type="page"/>
      </w:r>
    </w:p>
    <w:p w14:paraId="614B3F45">
      <w:pPr>
        <w:spacing w:line="640" w:lineRule="exact"/>
        <w:jc w:val="center"/>
        <w:outlineLvl w:val="1"/>
      </w:pPr>
      <w:r>
        <w:rPr>
          <w:rFonts w:ascii="黑体" w:hAnsi="黑体" w:eastAsia="黑体"/>
          <w:sz w:val="32"/>
        </w:rPr>
        <w:t>第一部分 单位概况</w:t>
      </w:r>
    </w:p>
    <w:p w14:paraId="42BD118C">
      <w:pPr>
        <w:spacing w:line="640" w:lineRule="exact"/>
        <w:ind w:firstLine="640"/>
        <w:jc w:val="both"/>
        <w:outlineLvl w:val="2"/>
      </w:pPr>
      <w:r>
        <w:rPr>
          <w:rFonts w:ascii="黑体" w:hAnsi="黑体" w:eastAsia="黑体"/>
          <w:sz w:val="32"/>
        </w:rPr>
        <w:t>一、主要职能</w:t>
      </w:r>
    </w:p>
    <w:p w14:paraId="121161A6">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创业合并具体管理工作，做好医疗保险服务工作，开展劳动监察工作，做好基层资料台账和统计上报工作。协助乡政府制定民政、教育、劳动就业、社会保障、社会救助、社会医保、医疗救助、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7B75E2E9">
      <w:pPr>
        <w:spacing w:line="640" w:lineRule="exact"/>
        <w:ind w:firstLine="640"/>
        <w:jc w:val="both"/>
        <w:outlineLvl w:val="2"/>
      </w:pPr>
      <w:r>
        <w:rPr>
          <w:rFonts w:ascii="黑体" w:hAnsi="黑体" w:eastAsia="黑体"/>
          <w:sz w:val="32"/>
        </w:rPr>
        <w:t>二、机构设置及人员情况</w:t>
      </w:r>
    </w:p>
    <w:p w14:paraId="7A80043A">
      <w:pPr>
        <w:spacing w:line="580" w:lineRule="exact"/>
        <w:ind w:firstLine="640"/>
        <w:jc w:val="both"/>
      </w:pPr>
      <w:r>
        <w:rPr>
          <w:rFonts w:ascii="仿宋_GB2312" w:hAnsi="仿宋_GB2312" w:eastAsia="仿宋_GB2312"/>
          <w:sz w:val="32"/>
        </w:rPr>
        <w:t>阿图什市阿扎克镇社会保障（民政）服务中心（退役军人服务站）2024年度，实有人数14人，其中：在职人员14人，增加12人；离休人员0人，增加0人；退休人员0人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29DF1A00">
      <w:pPr>
        <w:spacing w:line="580" w:lineRule="exact"/>
        <w:ind w:firstLine="640"/>
        <w:jc w:val="both"/>
      </w:pPr>
      <w:r>
        <w:rPr>
          <w:rFonts w:ascii="仿宋_GB2312" w:hAnsi="仿宋_GB2312" w:eastAsia="仿宋_GB2312"/>
          <w:sz w:val="32"/>
        </w:rPr>
        <w:t>阿图什市阿扎克镇社会保障（民政）服务中心（退役军人服务站）无下属预算单位，下设1个科室，分别是：办公室。</w:t>
      </w:r>
    </w:p>
    <w:p w14:paraId="6393AF15">
      <w:r>
        <w:br w:type="page"/>
      </w:r>
    </w:p>
    <w:p w14:paraId="1D436D39">
      <w:pPr>
        <w:spacing w:line="240" w:lineRule="auto"/>
        <w:jc w:val="center"/>
        <w:outlineLvl w:val="1"/>
      </w:pPr>
      <w:r>
        <w:rPr>
          <w:rFonts w:ascii="黑体" w:hAnsi="黑体" w:eastAsia="黑体"/>
          <w:sz w:val="32"/>
        </w:rPr>
        <w:t>第二部分 部门决算情况说明</w:t>
      </w:r>
    </w:p>
    <w:p w14:paraId="65D656D8">
      <w:pPr>
        <w:spacing w:line="640" w:lineRule="exact"/>
        <w:ind w:firstLine="640"/>
        <w:jc w:val="both"/>
        <w:outlineLvl w:val="2"/>
      </w:pPr>
      <w:r>
        <w:rPr>
          <w:rFonts w:ascii="黑体" w:hAnsi="黑体" w:eastAsia="黑体"/>
          <w:sz w:val="32"/>
        </w:rPr>
        <w:t>一、收入支出决算总体情况说明</w:t>
      </w:r>
    </w:p>
    <w:p w14:paraId="08945CAA">
      <w:pPr>
        <w:spacing w:line="580" w:lineRule="exact"/>
        <w:ind w:firstLine="640"/>
        <w:jc w:val="both"/>
      </w:pPr>
      <w:r>
        <w:rPr>
          <w:rFonts w:ascii="仿宋_GB2312" w:hAnsi="仿宋_GB2312" w:eastAsia="仿宋_GB2312"/>
          <w:b/>
          <w:sz w:val="32"/>
        </w:rPr>
        <w:t>2024年度收入总计131.08万元，</w:t>
      </w:r>
      <w:r>
        <w:rPr>
          <w:rFonts w:ascii="仿宋_GB2312" w:hAnsi="仿宋_GB2312" w:eastAsia="仿宋_GB2312"/>
          <w:b w:val="0"/>
          <w:sz w:val="32"/>
        </w:rPr>
        <w:t>其中：本年收入合计130.48万元，使用非财政拨款结余（含专用结余）0.00万元，年初结转和结余0.60万元。</w:t>
      </w:r>
    </w:p>
    <w:p w14:paraId="12A3B4B8">
      <w:pPr>
        <w:spacing w:line="580" w:lineRule="exact"/>
        <w:ind w:firstLine="640"/>
        <w:jc w:val="both"/>
      </w:pPr>
      <w:r>
        <w:rPr>
          <w:rFonts w:ascii="仿宋_GB2312" w:hAnsi="仿宋_GB2312" w:eastAsia="仿宋_GB2312"/>
          <w:b/>
          <w:sz w:val="32"/>
        </w:rPr>
        <w:t>2024年度支出总计131.08万元，</w:t>
      </w:r>
      <w:r>
        <w:rPr>
          <w:rFonts w:ascii="仿宋_GB2312" w:hAnsi="仿宋_GB2312" w:eastAsia="仿宋_GB2312"/>
          <w:b w:val="0"/>
          <w:sz w:val="32"/>
        </w:rPr>
        <w:t>其中：本年支出合计131.08万元，结余分配0.00万元，年末结转和结余0.00万元。</w:t>
      </w:r>
    </w:p>
    <w:p w14:paraId="003858D6">
      <w:pPr>
        <w:spacing w:line="580" w:lineRule="exact"/>
        <w:ind w:firstLine="640"/>
        <w:jc w:val="both"/>
      </w:pPr>
      <w:r>
        <w:rPr>
          <w:rFonts w:ascii="仿宋_GB2312" w:hAnsi="仿宋_GB2312" w:eastAsia="仿宋_GB2312"/>
          <w:b w:val="0"/>
          <w:sz w:val="32"/>
        </w:rPr>
        <w:t>收入支出总体与上年相比，减少37.04万元，下降22.03%，主要原因是：本年公益性岗位人员生活补助停发，相关基本人员经费减少。</w:t>
      </w:r>
    </w:p>
    <w:p w14:paraId="76122B81">
      <w:pPr>
        <w:spacing w:line="640" w:lineRule="exact"/>
        <w:ind w:firstLine="640"/>
        <w:jc w:val="both"/>
        <w:outlineLvl w:val="2"/>
      </w:pPr>
      <w:r>
        <w:rPr>
          <w:rFonts w:ascii="黑体" w:hAnsi="黑体" w:eastAsia="黑体"/>
          <w:sz w:val="32"/>
        </w:rPr>
        <w:t>二、收入决算情况说明</w:t>
      </w:r>
    </w:p>
    <w:p w14:paraId="6E332583">
      <w:pPr>
        <w:spacing w:line="580" w:lineRule="exact"/>
        <w:ind w:firstLine="640"/>
        <w:jc w:val="both"/>
      </w:pPr>
      <w:r>
        <w:rPr>
          <w:rFonts w:ascii="仿宋_GB2312" w:hAnsi="仿宋_GB2312" w:eastAsia="仿宋_GB2312"/>
          <w:b/>
          <w:sz w:val="32"/>
        </w:rPr>
        <w:t>本年收入130.48万元，</w:t>
      </w:r>
      <w:r>
        <w:rPr>
          <w:rFonts w:ascii="仿宋_GB2312" w:hAnsi="仿宋_GB2312" w:eastAsia="仿宋_GB2312"/>
          <w:b w:val="0"/>
          <w:sz w:val="32"/>
        </w:rPr>
        <w:t>其中：财政拨款收入130.48万元，占100.00%；上级补助收入0.00万元，占0.00%；事业收入0.00万元，占0.00%；经营收入0.00万元，占0.00%；附属单位上缴收入0.00万元，占0.00%；其他收入0.00万元，占0.00%。</w:t>
      </w:r>
    </w:p>
    <w:p w14:paraId="22CBA021">
      <w:pPr>
        <w:spacing w:line="640" w:lineRule="exact"/>
        <w:ind w:firstLine="640"/>
        <w:jc w:val="both"/>
        <w:outlineLvl w:val="2"/>
      </w:pPr>
      <w:r>
        <w:rPr>
          <w:rFonts w:ascii="黑体" w:hAnsi="黑体" w:eastAsia="黑体"/>
          <w:sz w:val="32"/>
        </w:rPr>
        <w:t>三、支出决算情况说明</w:t>
      </w:r>
    </w:p>
    <w:p w14:paraId="03F02057">
      <w:pPr>
        <w:spacing w:line="580" w:lineRule="exact"/>
        <w:ind w:firstLine="640"/>
        <w:jc w:val="both"/>
      </w:pPr>
      <w:r>
        <w:rPr>
          <w:rFonts w:ascii="仿宋_GB2312" w:hAnsi="仿宋_GB2312" w:eastAsia="仿宋_GB2312"/>
          <w:b/>
          <w:sz w:val="32"/>
        </w:rPr>
        <w:t>本年支出131.08万元，</w:t>
      </w:r>
      <w:r>
        <w:rPr>
          <w:rFonts w:ascii="仿宋_GB2312" w:hAnsi="仿宋_GB2312" w:eastAsia="仿宋_GB2312"/>
          <w:b w:val="0"/>
          <w:sz w:val="32"/>
        </w:rPr>
        <w:t>其中：基本支出131.08万元，占100.00%；项目支出0.00万元，占0.00%；上缴上级支出0.00万元，占0.00%；经营支出0.00万元，占0.00%；对附属单位补助支出0.00万元，占0.00%。</w:t>
      </w:r>
    </w:p>
    <w:p w14:paraId="53058C3D">
      <w:pPr>
        <w:spacing w:line="640" w:lineRule="exact"/>
        <w:ind w:firstLine="640"/>
        <w:jc w:val="both"/>
        <w:outlineLvl w:val="2"/>
      </w:pPr>
      <w:r>
        <w:rPr>
          <w:rFonts w:ascii="黑体" w:hAnsi="黑体" w:eastAsia="黑体"/>
          <w:sz w:val="32"/>
        </w:rPr>
        <w:t>四、财政拨款收入支出决算总体情况说明</w:t>
      </w:r>
    </w:p>
    <w:p w14:paraId="4FD45EC1">
      <w:pPr>
        <w:spacing w:line="580" w:lineRule="exact"/>
        <w:ind w:firstLine="640"/>
        <w:jc w:val="both"/>
      </w:pPr>
      <w:r>
        <w:rPr>
          <w:rFonts w:ascii="仿宋_GB2312" w:hAnsi="仿宋_GB2312" w:eastAsia="仿宋_GB2312"/>
          <w:b/>
          <w:sz w:val="32"/>
        </w:rPr>
        <w:t>2024年度财政拨款收入总计130.48万元，</w:t>
      </w:r>
      <w:r>
        <w:rPr>
          <w:rFonts w:ascii="仿宋_GB2312" w:hAnsi="仿宋_GB2312" w:eastAsia="仿宋_GB2312"/>
          <w:b w:val="0"/>
          <w:sz w:val="32"/>
        </w:rPr>
        <w:t>其中：年初财政拨款结转和结余0.00万元，本年财政拨款收入130.48万元。</w:t>
      </w:r>
      <w:r>
        <w:rPr>
          <w:rFonts w:ascii="仿宋_GB2312" w:hAnsi="仿宋_GB2312" w:eastAsia="仿宋_GB2312"/>
          <w:b/>
          <w:sz w:val="32"/>
        </w:rPr>
        <w:t>财政拨款支出总计130.48万元，</w:t>
      </w:r>
      <w:r>
        <w:rPr>
          <w:rFonts w:ascii="仿宋_GB2312" w:hAnsi="仿宋_GB2312" w:eastAsia="仿宋_GB2312"/>
          <w:b w:val="0"/>
          <w:sz w:val="32"/>
        </w:rPr>
        <w:t>其中：年末财政拨款结转和结余0.00万元，本年财政拨款支出130.48万元。</w:t>
      </w:r>
    </w:p>
    <w:p w14:paraId="32B05A2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增加89.08万元，增长215.17%，主要原因是：本年在职人员增加，在职人员工资调增、社保、公积金基数调增，人员经费增加。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年初预算数45.36万元，决算数130.48万元，预决算差异率187.65%，主要原因是：本年在职人员增加，年中追加人员经费及人员工资、社保、公积金基数调增部分资金，导致预决算存在差异。</w:t>
      </w:r>
    </w:p>
    <w:p w14:paraId="1ED3B94B">
      <w:pPr>
        <w:spacing w:line="640" w:lineRule="exact"/>
        <w:ind w:firstLine="640"/>
        <w:jc w:val="both"/>
        <w:outlineLvl w:val="2"/>
      </w:pPr>
      <w:r>
        <w:rPr>
          <w:rFonts w:ascii="黑体" w:hAnsi="黑体" w:eastAsia="黑体"/>
          <w:sz w:val="32"/>
        </w:rPr>
        <w:t>五、一般公共预算财政拨款支出决算情况说明</w:t>
      </w:r>
    </w:p>
    <w:p w14:paraId="35DE8E34">
      <w:pPr>
        <w:spacing w:line="640" w:lineRule="exact"/>
        <w:ind w:firstLine="640"/>
        <w:jc w:val="both"/>
        <w:outlineLvl w:val="3"/>
      </w:pPr>
      <w:r>
        <w:rPr>
          <w:rFonts w:ascii="楷体_GB2312" w:hAnsi="楷体_GB2312" w:eastAsia="楷体_GB2312"/>
          <w:b/>
          <w:sz w:val="32"/>
        </w:rPr>
        <w:t>（一）一般公共预算财政拨款支出决算总体情况</w:t>
      </w:r>
    </w:p>
    <w:p w14:paraId="01469281">
      <w:pPr>
        <w:spacing w:line="580" w:lineRule="exact"/>
        <w:ind w:firstLine="640"/>
        <w:jc w:val="both"/>
      </w:pPr>
      <w:r>
        <w:rPr>
          <w:rFonts w:ascii="仿宋_GB2312" w:hAnsi="仿宋_GB2312" w:eastAsia="仿宋_GB2312"/>
          <w:b/>
          <w:sz w:val="32"/>
        </w:rPr>
        <w:t>2024年度一般公共预算财政拨款支出130.48万元，</w:t>
      </w:r>
      <w:r>
        <w:rPr>
          <w:rFonts w:ascii="仿宋_GB2312" w:hAnsi="仿宋_GB2312" w:eastAsia="仿宋_GB2312"/>
          <w:b w:val="0"/>
          <w:sz w:val="32"/>
        </w:rPr>
        <w:t>占本年支出合计的99.54%。</w:t>
      </w:r>
      <w:r>
        <w:rPr>
          <w:rFonts w:ascii="仿宋_GB2312" w:hAnsi="仿宋_GB2312" w:eastAsia="仿宋_GB2312"/>
          <w:b/>
          <w:sz w:val="32"/>
        </w:rPr>
        <w:t>与上年相比，</w:t>
      </w:r>
      <w:r>
        <w:rPr>
          <w:rFonts w:ascii="仿宋_GB2312" w:hAnsi="仿宋_GB2312" w:eastAsia="仿宋_GB2312"/>
          <w:b w:val="0"/>
          <w:sz w:val="32"/>
        </w:rPr>
        <w:t>增加89.08万元，增长215.17%，主要原因是：本年在职人员增加，在职人员工资调增、社保、公积金基数调增，人员经费增加。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年初预算数45.36万元，决算数130.48万元，预决算差异率187.65%，主要原因是：本年在职人员增加，年中追加人员经费及人员工资、社保、公积金基数调增部分资金，导致预决算存在差异。</w:t>
      </w:r>
    </w:p>
    <w:p w14:paraId="5AFDFEF7">
      <w:pPr>
        <w:spacing w:line="640" w:lineRule="exact"/>
        <w:ind w:firstLine="640"/>
        <w:jc w:val="both"/>
        <w:outlineLvl w:val="3"/>
      </w:pPr>
      <w:r>
        <w:rPr>
          <w:rFonts w:ascii="楷体_GB2312" w:hAnsi="楷体_GB2312" w:eastAsia="楷体_GB2312"/>
          <w:b/>
          <w:sz w:val="32"/>
        </w:rPr>
        <w:t>（二）一般公共预算财政拨款支出决算结构情况</w:t>
      </w:r>
    </w:p>
    <w:p w14:paraId="665EE2F0">
      <w:pPr>
        <w:spacing w:line="580" w:lineRule="exact"/>
        <w:ind w:firstLine="640"/>
        <w:jc w:val="both"/>
      </w:pPr>
      <w:r>
        <w:rPr>
          <w:rFonts w:ascii="仿宋_GB2312" w:hAnsi="仿宋_GB2312" w:eastAsia="仿宋_GB2312"/>
          <w:b w:val="0"/>
          <w:sz w:val="32"/>
        </w:rPr>
        <w:t>1.社会保障和就业支出(类)125.77万元,占96.39%。</w:t>
      </w:r>
    </w:p>
    <w:p w14:paraId="279F82C2">
      <w:pPr>
        <w:spacing w:line="580" w:lineRule="exact"/>
        <w:ind w:firstLine="640"/>
        <w:jc w:val="both"/>
      </w:pPr>
      <w:r>
        <w:rPr>
          <w:rFonts w:ascii="仿宋_GB2312" w:hAnsi="仿宋_GB2312" w:eastAsia="仿宋_GB2312"/>
          <w:b w:val="0"/>
          <w:sz w:val="32"/>
        </w:rPr>
        <w:t>2.卫生健康支出(类)1.27万元,占0.97%。</w:t>
      </w:r>
    </w:p>
    <w:p w14:paraId="2BD487C7">
      <w:pPr>
        <w:spacing w:line="580" w:lineRule="exact"/>
        <w:ind w:firstLine="640"/>
        <w:jc w:val="both"/>
      </w:pPr>
      <w:r>
        <w:rPr>
          <w:rFonts w:ascii="仿宋_GB2312" w:hAnsi="仿宋_GB2312" w:eastAsia="仿宋_GB2312"/>
          <w:b w:val="0"/>
          <w:sz w:val="32"/>
        </w:rPr>
        <w:t>3.住房保障支出(类)3.44万元,占2.64%。</w:t>
      </w:r>
    </w:p>
    <w:p w14:paraId="0B04B155">
      <w:pPr>
        <w:spacing w:line="640" w:lineRule="exact"/>
        <w:ind w:firstLine="640"/>
        <w:jc w:val="both"/>
        <w:outlineLvl w:val="3"/>
      </w:pPr>
      <w:r>
        <w:rPr>
          <w:rFonts w:ascii="楷体_GB2312" w:hAnsi="楷体_GB2312" w:eastAsia="楷体_GB2312"/>
          <w:b/>
          <w:sz w:val="32"/>
        </w:rPr>
        <w:t>（三）一般公共预算财政拨款支出决算具体情况</w:t>
      </w:r>
    </w:p>
    <w:p w14:paraId="5BB7A0F7">
      <w:pPr>
        <w:spacing w:line="580" w:lineRule="exact"/>
        <w:ind w:firstLine="640"/>
        <w:jc w:val="both"/>
      </w:pPr>
      <w:r>
        <w:rPr>
          <w:rFonts w:ascii="仿宋_GB2312" w:hAnsi="仿宋_GB2312" w:eastAsia="仿宋_GB2312"/>
          <w:b w:val="0"/>
          <w:sz w:val="32"/>
        </w:rPr>
        <w:t>1.社会保障和就业支出(类)人力资源和社会保障管理事务(款)事业运行(项):支出决算数为121.37万元，比上年决算增加88.25万元，增长266.46%,主要原因是：本年新增在职人员，人员经费增加，导致经费较上年有所增加。</w:t>
      </w:r>
    </w:p>
    <w:p w14:paraId="7BB75F9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4.40万元，比上年决算增加0.56万元，增长14.58%,主要原因是：本年在职人员增加，养老保险缴费较上年增加。</w:t>
      </w:r>
    </w:p>
    <w:p w14:paraId="12E0875B">
      <w:pPr>
        <w:spacing w:line="580" w:lineRule="exact"/>
        <w:ind w:firstLine="640"/>
        <w:jc w:val="both"/>
      </w:pPr>
      <w:r>
        <w:rPr>
          <w:rFonts w:ascii="仿宋_GB2312" w:hAnsi="仿宋_GB2312" w:eastAsia="仿宋_GB2312"/>
          <w:b w:val="0"/>
          <w:sz w:val="32"/>
        </w:rPr>
        <w:t>3.卫生健康支出(类)行政事业单位医疗(款)事业单位医疗(项):支出决算数为1.27万元，比上年决算增加0.05万元，增长4.10%,主要原因是：本年在职人员增加，事业单位医疗支出较上年增加。</w:t>
      </w:r>
    </w:p>
    <w:p w14:paraId="12478E11">
      <w:pPr>
        <w:spacing w:line="580" w:lineRule="exact"/>
        <w:ind w:firstLine="640"/>
        <w:jc w:val="both"/>
      </w:pPr>
      <w:r>
        <w:rPr>
          <w:rFonts w:ascii="仿宋_GB2312" w:hAnsi="仿宋_GB2312" w:eastAsia="仿宋_GB2312"/>
          <w:b w:val="0"/>
          <w:sz w:val="32"/>
        </w:rPr>
        <w:t>4.住房保障支出(类)住房改革支出(款)住房公积金(项):支出决算数为3.44万元，比上年决算增加0.22万元，增长6.83%,主要原因是：本年在职人员增加，住房公积金支出较上年增加。</w:t>
      </w:r>
    </w:p>
    <w:p w14:paraId="3DFC9483">
      <w:pPr>
        <w:spacing w:line="640" w:lineRule="exact"/>
        <w:ind w:firstLine="640"/>
        <w:jc w:val="both"/>
        <w:outlineLvl w:val="2"/>
      </w:pPr>
      <w:r>
        <w:rPr>
          <w:rFonts w:ascii="黑体" w:hAnsi="黑体" w:eastAsia="黑体"/>
          <w:sz w:val="32"/>
        </w:rPr>
        <w:t>六、一般公共预算财政拨款基本支出决算情况说明</w:t>
      </w:r>
    </w:p>
    <w:p w14:paraId="12E367A3">
      <w:pPr>
        <w:spacing w:line="580" w:lineRule="exact"/>
        <w:ind w:firstLine="640"/>
        <w:jc w:val="both"/>
      </w:pPr>
      <w:r>
        <w:rPr>
          <w:rFonts w:ascii="仿宋_GB2312" w:hAnsi="仿宋_GB2312" w:eastAsia="仿宋_GB2312"/>
          <w:b w:val="0"/>
          <w:sz w:val="32"/>
        </w:rPr>
        <w:t>2024年度一般公共预算财政拨款基本支出130.48万元，其中：</w:t>
      </w:r>
      <w:r>
        <w:rPr>
          <w:rFonts w:ascii="仿宋_GB2312" w:hAnsi="仿宋_GB2312" w:eastAsia="仿宋_GB2312"/>
          <w:b/>
          <w:sz w:val="32"/>
        </w:rPr>
        <w:t>人员经费130.03万元，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302F5FC8">
      <w:pPr>
        <w:spacing w:line="580" w:lineRule="exact"/>
        <w:ind w:firstLine="640"/>
        <w:jc w:val="both"/>
      </w:pPr>
      <w:r>
        <w:rPr>
          <w:rFonts w:ascii="仿宋_GB2312" w:hAnsi="仿宋_GB2312" w:eastAsia="仿宋_GB2312"/>
          <w:b/>
          <w:sz w:val="32"/>
        </w:rPr>
        <w:t>公用经费0.45万元，</w:t>
      </w:r>
      <w:r>
        <w:rPr>
          <w:rFonts w:ascii="仿宋_GB2312" w:hAnsi="仿宋_GB2312" w:eastAsia="仿宋_GB2312"/>
          <w:b w:val="0"/>
          <w:sz w:val="32"/>
        </w:rPr>
        <w:t>包括：办公费、印刷费、手续费、电费。</w:t>
      </w:r>
    </w:p>
    <w:p w14:paraId="58696AD0">
      <w:pPr>
        <w:spacing w:line="640" w:lineRule="exact"/>
        <w:ind w:firstLine="640"/>
        <w:jc w:val="both"/>
        <w:outlineLvl w:val="2"/>
      </w:pPr>
      <w:r>
        <w:rPr>
          <w:rFonts w:ascii="黑体" w:hAnsi="黑体" w:eastAsia="黑体"/>
          <w:sz w:val="32"/>
        </w:rPr>
        <w:t>七、政府性基金预算财政拨款收入支出决算情况说明</w:t>
      </w:r>
    </w:p>
    <w:p w14:paraId="085074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AE8F197">
      <w:pPr>
        <w:spacing w:line="640" w:lineRule="exact"/>
        <w:ind w:firstLine="640"/>
        <w:jc w:val="both"/>
        <w:outlineLvl w:val="2"/>
      </w:pPr>
      <w:r>
        <w:rPr>
          <w:rFonts w:ascii="黑体" w:hAnsi="黑体" w:eastAsia="黑体"/>
          <w:sz w:val="32"/>
        </w:rPr>
        <w:t>八、国有资本经营预算财政拨款收入支出决算情况说明</w:t>
      </w:r>
    </w:p>
    <w:p w14:paraId="7A33102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E10093C">
      <w:pPr>
        <w:spacing w:line="640" w:lineRule="exact"/>
        <w:ind w:firstLine="640"/>
        <w:jc w:val="both"/>
        <w:outlineLvl w:val="2"/>
      </w:pPr>
      <w:r>
        <w:rPr>
          <w:rFonts w:ascii="黑体" w:hAnsi="黑体" w:eastAsia="黑体"/>
          <w:sz w:val="32"/>
        </w:rPr>
        <w:t>九、财政拨款“三公”经费支出决算情况说明</w:t>
      </w:r>
    </w:p>
    <w:p w14:paraId="685E5DB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8024EB5">
      <w:pPr>
        <w:spacing w:line="580" w:lineRule="exact"/>
        <w:ind w:firstLine="640"/>
        <w:jc w:val="both"/>
      </w:pPr>
      <w:r>
        <w:rPr>
          <w:rFonts w:ascii="仿宋_GB2312" w:hAnsi="仿宋_GB2312" w:eastAsia="仿宋_GB2312"/>
          <w:b/>
          <w:sz w:val="32"/>
        </w:rPr>
        <w:t>具体情况如下：</w:t>
      </w:r>
    </w:p>
    <w:p w14:paraId="0B1762B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223872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C67B7F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89DD0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09D8275">
      <w:pPr>
        <w:spacing w:line="640" w:lineRule="exact"/>
        <w:ind w:firstLine="640"/>
        <w:jc w:val="both"/>
        <w:outlineLvl w:val="2"/>
      </w:pPr>
      <w:r>
        <w:rPr>
          <w:rFonts w:ascii="黑体" w:hAnsi="黑体" w:eastAsia="黑体"/>
          <w:sz w:val="32"/>
        </w:rPr>
        <w:t>十、其他重要事项的情况说明</w:t>
      </w:r>
    </w:p>
    <w:p w14:paraId="29FEA193">
      <w:pPr>
        <w:spacing w:line="640" w:lineRule="exact"/>
        <w:ind w:firstLine="640"/>
        <w:jc w:val="both"/>
        <w:outlineLvl w:val="3"/>
      </w:pPr>
      <w:r>
        <w:rPr>
          <w:rFonts w:ascii="楷体_GB2312" w:hAnsi="楷体_GB2312" w:eastAsia="楷体_GB2312"/>
          <w:b/>
          <w:sz w:val="32"/>
        </w:rPr>
        <w:t>（一）机关运行经费及公用经费支出情况</w:t>
      </w:r>
    </w:p>
    <w:p w14:paraId="4027E326">
      <w:pPr>
        <w:spacing w:line="580" w:lineRule="exact"/>
        <w:ind w:firstLine="640"/>
        <w:jc w:val="both"/>
      </w:pPr>
      <w:r>
        <w:rPr>
          <w:rFonts w:ascii="仿宋_GB2312" w:hAnsi="仿宋_GB2312" w:eastAsia="仿宋_GB2312"/>
          <w:b w:val="0"/>
          <w:sz w:val="32"/>
        </w:rPr>
        <w:t>2024年度阿图什市阿扎克镇社会保障（民政）服务中心（退役军人服务站）（事业单位）公用经费支出0.45万元，比上年增加0.00万元，增长0.00%，主要原因是：本单位公用经费</w:t>
      </w:r>
      <w:r>
        <w:rPr>
          <w:rFonts w:hint="eastAsia" w:ascii="仿宋_GB2312" w:hAnsi="仿宋_GB2312" w:eastAsia="仿宋_GB2312"/>
          <w:b w:val="0"/>
          <w:sz w:val="32"/>
          <w:lang w:val="en-US" w:eastAsia="zh-CN"/>
        </w:rPr>
        <w:t>支出</w:t>
      </w:r>
      <w:r>
        <w:rPr>
          <w:rFonts w:ascii="仿宋_GB2312" w:hAnsi="仿宋_GB2312" w:eastAsia="仿宋_GB2312"/>
          <w:b w:val="0"/>
          <w:sz w:val="32"/>
        </w:rPr>
        <w:t>与上年一致无变化。</w:t>
      </w:r>
    </w:p>
    <w:p w14:paraId="7CBE42B6">
      <w:pPr>
        <w:spacing w:line="640" w:lineRule="exact"/>
        <w:ind w:firstLine="640"/>
        <w:jc w:val="both"/>
        <w:outlineLvl w:val="3"/>
      </w:pPr>
      <w:r>
        <w:rPr>
          <w:rFonts w:ascii="楷体_GB2312" w:hAnsi="楷体_GB2312" w:eastAsia="楷体_GB2312"/>
          <w:b/>
          <w:sz w:val="32"/>
        </w:rPr>
        <w:t>（二）政府采购情况</w:t>
      </w:r>
    </w:p>
    <w:p w14:paraId="6DD6D486">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E2A304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51A3586">
      <w:pPr>
        <w:spacing w:line="640" w:lineRule="exact"/>
        <w:ind w:firstLine="640"/>
        <w:jc w:val="both"/>
        <w:outlineLvl w:val="3"/>
      </w:pPr>
      <w:r>
        <w:rPr>
          <w:rFonts w:ascii="楷体_GB2312" w:hAnsi="楷体_GB2312" w:eastAsia="楷体_GB2312"/>
          <w:b/>
          <w:sz w:val="32"/>
        </w:rPr>
        <w:t>（三）国有资产占用情况说明</w:t>
      </w:r>
    </w:p>
    <w:p w14:paraId="31FC15B0">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38D7D25">
      <w:pPr>
        <w:spacing w:line="640" w:lineRule="exact"/>
        <w:ind w:firstLine="640"/>
        <w:jc w:val="both"/>
        <w:outlineLvl w:val="2"/>
      </w:pPr>
      <w:r>
        <w:rPr>
          <w:rFonts w:ascii="黑体" w:hAnsi="黑体" w:eastAsia="黑体"/>
          <w:sz w:val="32"/>
        </w:rPr>
        <w:t>十一、预算绩效的情况说明</w:t>
      </w:r>
    </w:p>
    <w:p w14:paraId="43206BD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14:paraId="7F3EF095">
      <w:r>
        <w:br w:type="page"/>
      </w:r>
    </w:p>
    <w:p w14:paraId="7E05B9AF">
      <w:pPr>
        <w:spacing w:line="640" w:lineRule="exact"/>
        <w:ind w:firstLine="640"/>
        <w:jc w:val="both"/>
        <w:outlineLvl w:val="2"/>
      </w:pPr>
      <w:r>
        <w:rPr>
          <w:rFonts w:ascii="黑体" w:hAnsi="黑体" w:eastAsia="黑体"/>
          <w:sz w:val="32"/>
        </w:rPr>
        <w:t>十二、其他需说明的事项</w:t>
      </w:r>
    </w:p>
    <w:p w14:paraId="36610395">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39A7EE8">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14:paraId="69484F72">
      <w:r>
        <w:br w:type="page"/>
      </w:r>
    </w:p>
    <w:p w14:paraId="7ADA4D2A">
      <w:pPr>
        <w:spacing w:line="240" w:lineRule="auto"/>
        <w:jc w:val="center"/>
        <w:outlineLvl w:val="1"/>
      </w:pPr>
      <w:r>
        <w:rPr>
          <w:rFonts w:ascii="黑体" w:hAnsi="黑体" w:eastAsia="黑体"/>
          <w:sz w:val="32"/>
        </w:rPr>
        <w:t>第三部分 专业名词解释</w:t>
      </w:r>
    </w:p>
    <w:p w14:paraId="4BD5B63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29642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FFFD1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6BA91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EA484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B159C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58943A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95F47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C1BD7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F7FDF5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8A2261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6E6736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A0B43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64BBD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A1E1EA">
      <w:r>
        <w:br w:type="page"/>
      </w:r>
    </w:p>
    <w:p w14:paraId="3FB87821">
      <w:pPr>
        <w:spacing w:line="240" w:lineRule="auto"/>
        <w:jc w:val="center"/>
        <w:outlineLvl w:val="1"/>
      </w:pPr>
      <w:r>
        <w:rPr>
          <w:rFonts w:ascii="黑体" w:hAnsi="黑体" w:eastAsia="黑体"/>
          <w:sz w:val="32"/>
        </w:rPr>
        <w:t>第四部分 部门决算报表（见附表）</w:t>
      </w:r>
    </w:p>
    <w:p w14:paraId="473C4306">
      <w:pPr>
        <w:spacing w:line="240" w:lineRule="auto"/>
        <w:ind w:firstLine="640"/>
        <w:jc w:val="both"/>
      </w:pPr>
      <w:r>
        <w:rPr>
          <w:rFonts w:ascii="仿宋_GB2312" w:hAnsi="仿宋_GB2312" w:eastAsia="仿宋_GB2312"/>
          <w:b w:val="0"/>
          <w:sz w:val="32"/>
        </w:rPr>
        <w:t>一、《收入支出决算总表》</w:t>
      </w:r>
    </w:p>
    <w:p w14:paraId="5E0EB550">
      <w:pPr>
        <w:spacing w:line="240" w:lineRule="auto"/>
        <w:ind w:firstLine="640"/>
        <w:jc w:val="both"/>
      </w:pPr>
      <w:r>
        <w:rPr>
          <w:rFonts w:ascii="仿宋_GB2312" w:hAnsi="仿宋_GB2312" w:eastAsia="仿宋_GB2312"/>
          <w:b w:val="0"/>
          <w:sz w:val="32"/>
        </w:rPr>
        <w:t>二、《收入决算表》</w:t>
      </w:r>
    </w:p>
    <w:p w14:paraId="7959885C">
      <w:pPr>
        <w:spacing w:line="240" w:lineRule="auto"/>
        <w:ind w:firstLine="640"/>
        <w:jc w:val="both"/>
      </w:pPr>
      <w:r>
        <w:rPr>
          <w:rFonts w:ascii="仿宋_GB2312" w:hAnsi="仿宋_GB2312" w:eastAsia="仿宋_GB2312"/>
          <w:b w:val="0"/>
          <w:sz w:val="32"/>
        </w:rPr>
        <w:t>三、《支出决算表》</w:t>
      </w:r>
    </w:p>
    <w:p w14:paraId="7B282F34">
      <w:pPr>
        <w:spacing w:line="240" w:lineRule="auto"/>
        <w:ind w:firstLine="640"/>
        <w:jc w:val="both"/>
      </w:pPr>
      <w:r>
        <w:rPr>
          <w:rFonts w:ascii="仿宋_GB2312" w:hAnsi="仿宋_GB2312" w:eastAsia="仿宋_GB2312"/>
          <w:b w:val="0"/>
          <w:sz w:val="32"/>
        </w:rPr>
        <w:t>四、《财政拨款收入支出决算总表》</w:t>
      </w:r>
    </w:p>
    <w:p w14:paraId="0D55B643">
      <w:pPr>
        <w:spacing w:line="240" w:lineRule="auto"/>
        <w:ind w:firstLine="640"/>
        <w:jc w:val="both"/>
      </w:pPr>
      <w:r>
        <w:rPr>
          <w:rFonts w:ascii="仿宋_GB2312" w:hAnsi="仿宋_GB2312" w:eastAsia="仿宋_GB2312"/>
          <w:b w:val="0"/>
          <w:sz w:val="32"/>
        </w:rPr>
        <w:t>五、《一般公共预算财政拨款支出决算表》</w:t>
      </w:r>
    </w:p>
    <w:p w14:paraId="63C17474">
      <w:pPr>
        <w:spacing w:line="240" w:lineRule="auto"/>
        <w:ind w:firstLine="640"/>
        <w:jc w:val="both"/>
      </w:pPr>
      <w:r>
        <w:rPr>
          <w:rFonts w:ascii="仿宋_GB2312" w:hAnsi="仿宋_GB2312" w:eastAsia="仿宋_GB2312"/>
          <w:b w:val="0"/>
          <w:sz w:val="32"/>
        </w:rPr>
        <w:t>六、《一般公共预算财政拨款基本支出决算表》</w:t>
      </w:r>
    </w:p>
    <w:p w14:paraId="5C4F24C1">
      <w:pPr>
        <w:spacing w:line="240" w:lineRule="auto"/>
        <w:ind w:firstLine="640"/>
        <w:jc w:val="both"/>
      </w:pPr>
      <w:r>
        <w:rPr>
          <w:rFonts w:ascii="仿宋_GB2312" w:hAnsi="仿宋_GB2312" w:eastAsia="仿宋_GB2312"/>
          <w:b w:val="0"/>
          <w:sz w:val="32"/>
        </w:rPr>
        <w:t>七、《政府性基金预算财政拨款收入支出决算表》</w:t>
      </w:r>
    </w:p>
    <w:p w14:paraId="2DFC3347">
      <w:pPr>
        <w:spacing w:line="240" w:lineRule="auto"/>
        <w:ind w:firstLine="640"/>
        <w:jc w:val="both"/>
      </w:pPr>
      <w:r>
        <w:rPr>
          <w:rFonts w:ascii="仿宋_GB2312" w:hAnsi="仿宋_GB2312" w:eastAsia="仿宋_GB2312"/>
          <w:b w:val="0"/>
          <w:sz w:val="32"/>
        </w:rPr>
        <w:t>八、《国有资本经营预算财政拨款收入支出决算表》</w:t>
      </w:r>
    </w:p>
    <w:p w14:paraId="36D5DB23">
      <w:pPr>
        <w:spacing w:line="240" w:lineRule="auto"/>
        <w:ind w:firstLine="640"/>
        <w:jc w:val="both"/>
      </w:pPr>
      <w:r>
        <w:rPr>
          <w:rFonts w:ascii="仿宋_GB2312" w:hAnsi="仿宋_GB2312" w:eastAsia="仿宋_GB2312"/>
          <w:b w:val="0"/>
          <w:sz w:val="32"/>
        </w:rPr>
        <w:t>九、《财政拨款“三公”经费支出决算表》</w:t>
      </w:r>
    </w:p>
    <w:p w14:paraId="481CEC21">
      <w:pPr>
        <w:spacing w:line="240" w:lineRule="auto"/>
        <w:ind w:firstLine="640"/>
        <w:jc w:val="both"/>
      </w:pPr>
    </w:p>
    <w:p w14:paraId="6FB8A966">
      <w:pPr>
        <w:spacing w:line="240" w:lineRule="auto"/>
        <w:ind w:firstLine="640"/>
        <w:jc w:val="both"/>
      </w:pPr>
    </w:p>
    <w:p w14:paraId="6E06D9ED">
      <w:pPr>
        <w:spacing w:line="240" w:lineRule="auto"/>
        <w:ind w:firstLine="640"/>
        <w:jc w:val="both"/>
      </w:pPr>
    </w:p>
    <w:p w14:paraId="22D5CD57">
      <w:pPr>
        <w:spacing w:line="240" w:lineRule="auto"/>
        <w:ind w:firstLine="640"/>
        <w:jc w:val="both"/>
      </w:pPr>
    </w:p>
    <w:p w14:paraId="0BD7A78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B84B8E-3597-46F2-876A-6F5C195A57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384E1A6-580F-4A53-9362-BAE37C724131}"/>
  </w:font>
  <w:font w:name="仿宋_GB2312">
    <w:panose1 w:val="02010609030101010101"/>
    <w:charset w:val="86"/>
    <w:family w:val="modern"/>
    <w:pitch w:val="default"/>
    <w:sig w:usb0="00000001" w:usb1="080E0000" w:usb2="00000000" w:usb3="00000000" w:csb0="00040000" w:csb1="00000000"/>
    <w:embedRegular r:id="rId3" w:fontKey="{B18370B4-9D1B-4A45-B909-0B9B63E1027F}"/>
  </w:font>
  <w:font w:name="楷体_GB2312">
    <w:panose1 w:val="02010609030101010101"/>
    <w:charset w:val="86"/>
    <w:family w:val="auto"/>
    <w:pitch w:val="default"/>
    <w:sig w:usb0="00000001" w:usb1="080E0000" w:usb2="00000000" w:usb3="00000000" w:csb0="00040000" w:csb1="00000000"/>
    <w:embedRegular r:id="rId4" w:fontKey="{13866F4E-98CE-4692-8D85-ACEA44FBDFC3}"/>
  </w:font>
  <w:font w:name="WPSEMBED136">
    <w:panose1 w:val="02010609030101010101"/>
    <w:charset w:val="86"/>
    <w:family w:val="auto"/>
    <w:pitch w:val="default"/>
    <w:sig w:usb0="00000001" w:usb1="080E0000" w:usb2="00000000" w:usb3="00000000" w:csb0="00040000" w:csb1="00000000"/>
  </w:font>
  <w:font w:name="WPSEMBED13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DB099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492439"/>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4833</Words>
  <Characters>5403</Characters>
  <Lines>0</Lines>
  <Paragraphs>0</Paragraphs>
  <TotalTime>3</TotalTime>
  <ScaleCrop>false</ScaleCrop>
  <LinksUpToDate>false</LinksUpToDate>
  <CharactersWithSpaces>5413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2025-09-08T08:35:08Z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