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2024年中央补助地方公共文化服务体系建设补助资金</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tabs>
          <w:tab w:val="left" w:pos="2916"/>
        </w:tabs>
        <w:spacing w:line="560" w:lineRule="exact"/>
        <w:jc w:val="left"/>
        <w:rPr>
          <w:rFonts w:hint="eastAsia" w:ascii="仿宋_GB2312" w:hAnsi="仿宋_GB2312" w:eastAsia="仿宋_GB2312" w:cs="仿宋_GB2312"/>
          <w:b/>
          <w:color w:val="auto"/>
          <w:kern w:val="0"/>
          <w:sz w:val="50"/>
          <w:szCs w:val="50"/>
          <w:highlight w:val="none"/>
          <w:lang w:eastAsia="zh-CN" w:bidi="en-US"/>
        </w:rPr>
      </w:pPr>
      <w:r>
        <w:rPr>
          <w:rFonts w:hint="eastAsia" w:ascii="仿宋_GB2312" w:hAnsi="仿宋_GB2312" w:cs="仿宋_GB2312"/>
          <w:b/>
          <w:color w:val="auto"/>
          <w:kern w:val="0"/>
          <w:sz w:val="50"/>
          <w:szCs w:val="50"/>
          <w:highlight w:val="none"/>
          <w:lang w:eastAsia="zh-CN" w:bidi="en-US"/>
        </w:rPr>
        <w:tab/>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项目名称：2024年中央补助地方公共文化服务体系建设</w:t>
      </w:r>
    </w:p>
    <w:p>
      <w:pPr>
        <w:spacing w:line="560" w:lineRule="exact"/>
        <w:ind w:firstLine="1600" w:firstLine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补助资金</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项目单位：阿图什市融媒体中心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主管部门：阿图什市融媒体中心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2024年中央补助地方公共文化服务体系建设补助资金</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随着广播电视技术的飞跃发展与人民生活水平的不断提高，广播电视由模拟向数字转换已成为发展的必然趋势，中央广播电视节目无线数字化覆盖工程对加快广播电视模拟向数字化转型</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对于加强和巩固党的宣传文化阵地，落实广播电视公共服务体系的建设要求，满足人民群众听广播、看电视的文化需求，具有十分重要的意义。中央广播电视节目无线数字化覆盖工程通过简单的接收设备就能收看电视节目、收听广播节目，满足广大群众随时随地听广播、看电视的基本需求。该工程实施后在发射功率覆盖区域内，能够收看标清的中央电视节目，对电视用户来说是质的飞跃，提高了电视的利用率，使频谱资源紧张的问题得到解决。</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[2023]67号文件，下达资金110.17万元，通过项目的实施可进一步巩固中央广播电视节目无线覆盖成果，进一步提升广播电视公共服务水平和质量。</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实施主体：本项目的主管部门为阿图什市融媒体中心,实施单位为阿图什市融媒体中心，主要职责：项目实施过程中严格按照实施方案进行实施并及时进行监督管理，项目实施后进行及时验收及后期管理。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110.17</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47.0451</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42.7</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发射机维护</w:t>
      </w:r>
      <w:r>
        <w:rPr>
          <w:rStyle w:val="11"/>
          <w:rFonts w:hint="eastAsia" w:ascii="仿宋_GB2312"/>
          <w:b w:val="0"/>
          <w:color w:val="auto"/>
          <w:spacing w:val="-4"/>
          <w:sz w:val="32"/>
          <w:highlight w:val="none"/>
          <w:lang w:val="en-US" w:eastAsia="zh-CN"/>
        </w:rPr>
        <w:t>成本：47.0451万元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补助地方公共文化服务体系建设补助资金预算的通知》（中央广播电视节目无线覆盖（数字）运行维护费--数字广播、电视发射机运维费）、（中央广播节目无线覆盖（模拟）运行维护费--调频广播发射机运维费）克财教[2023]67号文件，下达资金110.17万元，通过项目的实施可进一步巩固中央广播电视节目无线覆盖成果，进一步提升广播电视公共服务水平和质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2024年中央补助地方公共文化服务体系建设补助资金</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2024年中央补助地方公共文化服务体系建设补助资金</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2024年中央补助地方公共文化服务体系建设补助资金</w:t>
      </w:r>
      <w:r>
        <w:rPr>
          <w:rFonts w:hint="eastAsia" w:ascii="仿宋_GB2312" w:hAnsi="仿宋_GB2312" w:cs="仿宋_GB2312"/>
          <w:color w:val="auto"/>
          <w:sz w:val="32"/>
          <w:highlight w:val="none"/>
        </w:rPr>
        <w:t>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2024年中央补助地方公共文化服务体系建设补助资金</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赵海萍</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金贵贵</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徐志莲</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补助地方公共文化服务体系建设补助资金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组织管理、产出与效益效果。在此基础上，以相关的项目数据为基础，综合运用不同的评价方法，结合评价标准和评分规则，2024年中央补助地方公共文化服务体系建设补助资金综合得分为97.13分，</w:t>
      </w:r>
      <w:r>
        <w:rPr>
          <w:rFonts w:hint="eastAsia" w:ascii="仿宋_GB2312" w:hAnsi="Cambria" w:eastAsia="仿宋_GB2312"/>
          <w:color w:val="auto"/>
          <w:sz w:val="32"/>
          <w:szCs w:val="32"/>
          <w:highlight w:val="none"/>
        </w:rPr>
        <w:t>评价结果为优。</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2024年中央补助地方公共文化服务体系建设补助资金</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651"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50"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14.13</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预算执行率扣2.87分</w:t>
            </w:r>
          </w:p>
        </w:tc>
      </w:tr>
      <w:tr>
        <w:tblPrEx>
          <w:tblLayout w:type="fixed"/>
          <w:tblCellMar>
            <w:top w:w="0" w:type="dxa"/>
            <w:left w:w="10" w:type="dxa"/>
            <w:bottom w:w="0" w:type="dxa"/>
            <w:right w:w="10" w:type="dxa"/>
          </w:tblCellMar>
        </w:tblPrEx>
        <w:trPr>
          <w:trHeight w:val="618"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36"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622"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97.13</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年已完成发射机维护数量（部）9部等工作；通过该项目的实施进一步巩固中央广播电视节目无线覆盖成果，进一步提升广播电视公共服务水平和质量。</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47.0451</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97.13</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中央补助地方公共文化服务体系建设补助资金</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数量指标为发射机维护数量（部），预期指标值是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9部，实际完成值是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9部，指标达到预期目标。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质量指标为数字发射机“三满”播出率，预期指标值是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时效指标为资金到位率，预期指标值是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时效指标为中央数字广播电视节目播出任务完成率，预期指标值是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无。</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指标为广播节目综合人口覆盖率，预期指标值是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指标为电视节目综合人口覆盖率，预期指标值是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指标为无线覆盖运行维护可持续性，预期指标值是持续有效，实际完成值是持续有效，指标达到预期目标。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满意度指标为群众对免费收听收看广播电视节目的满意率，预期指标值是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110.17</w:t>
      </w:r>
      <w:r>
        <w:rPr>
          <w:rFonts w:hint="eastAsia"/>
          <w:color w:val="auto"/>
          <w:sz w:val="32"/>
          <w:highlight w:val="none"/>
        </w:rPr>
        <w:t>万元，执行数</w:t>
      </w:r>
      <w:r>
        <w:rPr>
          <w:rFonts w:hint="eastAsia"/>
          <w:color w:val="auto"/>
          <w:sz w:val="32"/>
          <w:highlight w:val="none"/>
          <w:lang w:val="en-US" w:eastAsia="zh-CN"/>
        </w:rPr>
        <w:t>47.0451</w:t>
      </w:r>
      <w:r>
        <w:rPr>
          <w:rFonts w:hint="eastAsia"/>
          <w:color w:val="auto"/>
          <w:sz w:val="32"/>
          <w:highlight w:val="none"/>
        </w:rPr>
        <w:t>万元，执行率</w:t>
      </w:r>
      <w:r>
        <w:rPr>
          <w:rFonts w:hint="eastAsia"/>
          <w:color w:val="auto"/>
          <w:sz w:val="32"/>
          <w:highlight w:val="none"/>
          <w:lang w:val="en-US" w:eastAsia="zh-CN"/>
        </w:rPr>
        <w:t>42.07</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57.3</w:t>
      </w:r>
      <w:r>
        <w:rPr>
          <w:rFonts w:hint="eastAsia"/>
          <w:color w:val="auto"/>
          <w:sz w:val="32"/>
          <w:highlight w:val="none"/>
        </w:rPr>
        <w:t>%。偏差原因：根据实际情况进行支出，剩余资金已结转至2025年支出。</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97.13</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DE8C"/>
    <w:multiLevelType w:val="multilevel"/>
    <w:tmpl w:val="68CCDE8C"/>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DE97"/>
    <w:multiLevelType w:val="singleLevel"/>
    <w:tmpl w:val="68CCDE97"/>
    <w:lvl w:ilvl="0" w:tentative="0">
      <w:start w:val="3"/>
      <w:numFmt w:val="decimal"/>
      <w:suff w:val="nothing"/>
      <w:lvlText w:val="%1．"/>
      <w:lvlJc w:val="left"/>
      <w:rPr>
        <w:rFonts w:hint="default"/>
        <w:b/>
        <w:bCs/>
        <w:color w:val="auto"/>
      </w:rPr>
    </w:lvl>
  </w:abstractNum>
  <w:abstractNum w:abstractNumId="2">
    <w:nsid w:val="68CCDEA2"/>
    <w:multiLevelType w:val="singleLevel"/>
    <w:tmpl w:val="68CCDEA2"/>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5396034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List Paragraph"/>
    <w:basedOn w:val="1"/>
    <w:qFormat/>
    <w:uiPriority w:val="34"/>
    <w:pPr>
      <w:ind w:firstLine="420" w:firstLineChars="200"/>
    </w:pPr>
    <w:rPr>
      <w:rFonts w:ascii="Calibri" w:hAnsi="Calibri" w:eastAsia="宋体" w:cs="Times New Roman"/>
      <w:sz w:val="21"/>
      <w:szCs w:val="21"/>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E16CF66B7E394FC8B1F78198BB17CD40_13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6eb25a-f93b-418f-ac31-cf7cef913d9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4</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2025-09-19T04:39:36Z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E16CF66B7E394FC8B1F78198BB17CD40_13</vt:lpwstr>
  </property>
  <property fmtid="{D5CDD505-2E9C-101B-9397-08002B2CF9AE}" pid="4" name="KSOTemplateDocerSaveRecord">
    <vt:lpwstr>eyJoZGlkIjoiYzZkNzQ4ZWFiZmQ4NTRhOWRkZTk3YTMwMjlmMmZhYmUiLCJ1c2VySWQiOiI1NzgxMjU4NDIifQ_x003D__x003D_</vt:lpwstr>
  </property>
</Properties>
</file>