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A7855E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中共阿图什市委员会政法委员会</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9A4493A">
      <w:r>
        <w:br w:type="page"/>
      </w:r>
    </w:p>
    <w:p w14:paraId="182A6AE9">
      <w:pPr>
        <w:spacing w:line="640" w:lineRule="exact"/>
        <w:jc w:val="center"/>
        <w:outlineLvl w:val="1"/>
      </w:pPr>
      <w:r>
        <w:rPr>
          <w:rFonts w:ascii="黑体" w:hAnsi="黑体" w:eastAsia="黑体"/>
          <w:sz w:val="32"/>
        </w:rPr>
        <w:t>第一部分 单位概况</w:t>
      </w:r>
    </w:p>
    <w:p w14:paraId="086B9206">
      <w:pPr>
        <w:spacing w:line="640" w:lineRule="exact"/>
        <w:ind w:firstLine="640"/>
        <w:jc w:val="both"/>
        <w:outlineLvl w:val="2"/>
      </w:pPr>
      <w:r>
        <w:rPr>
          <w:rFonts w:ascii="黑体" w:hAnsi="黑体" w:eastAsia="黑体"/>
          <w:sz w:val="32"/>
        </w:rPr>
        <w:t>一、主要职能</w:t>
      </w:r>
    </w:p>
    <w:p w14:paraId="59FC213D">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统筹政法工作中的重要事项。</w:t>
      </w:r>
    </w:p>
    <w:p w14:paraId="363D45C0">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统筹政法各项工作，及时妥善处理重要事项和突发事件。</w:t>
      </w:r>
    </w:p>
    <w:p w14:paraId="614924A4">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统筹规划平安建设、法治建设与经济社会发展，做到同部署、同推进、同督促、同考核、同奖惩。</w:t>
      </w:r>
    </w:p>
    <w:p w14:paraId="1DE53459">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推动政法单位依法维护社会主义市场经济秩序，为经济高质量发展提供法治保障。</w:t>
      </w:r>
    </w:p>
    <w:p w14:paraId="3D62B6F5">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组织实施党中央关于政法改革方案，推动完善社会主义司法制度和政法工作运行</w:t>
      </w:r>
      <w:r>
        <w:rPr>
          <w:rFonts w:hint="eastAsia" w:ascii="仿宋_GB2312" w:hAnsi="仿宋_GB2312" w:eastAsia="仿宋_GB2312"/>
          <w:sz w:val="32"/>
          <w:lang w:eastAsia="zh-CN"/>
        </w:rPr>
        <w:t>体制</w:t>
      </w:r>
      <w:r>
        <w:rPr>
          <w:rFonts w:ascii="仿宋_GB2312" w:hAnsi="仿宋_GB2312" w:eastAsia="仿宋_GB2312"/>
          <w:sz w:val="32"/>
        </w:rPr>
        <w:t>机制。</w:t>
      </w:r>
    </w:p>
    <w:p w14:paraId="7A0C0BE9">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完善党委领导、政府负责、社会协同、公众参与、法治保障的社会治理体系，提高社会治理社会化、法治化、智能化、专业化水平。</w:t>
      </w:r>
    </w:p>
    <w:p w14:paraId="466AE4F9">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完善党委、纪检监察机关、党委政法委员会对政法各单位的监督机制，保证党的路线方针政策和党中央重大决策部署贯彻落实，保证宪法法律正确统一实施。</w:t>
      </w:r>
    </w:p>
    <w:p w14:paraId="58800D38">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加强党对政法队伍建设的领导，完善党委统一领导、政法单位主抓、有关部门各司其职的政法队伍建设工作格局。</w:t>
      </w:r>
    </w:p>
    <w:p w14:paraId="53849341">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改善执法司法条件，满足政法各种形式和任务的需要。</w:t>
      </w:r>
    </w:p>
    <w:p w14:paraId="3C9203F5">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推动完善和落实保障政法干警依法履职、开展工作的制度和政策。</w:t>
      </w:r>
    </w:p>
    <w:p w14:paraId="73367BA2">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本地州政法工作中的其他重要事项。</w:t>
      </w:r>
    </w:p>
    <w:p w14:paraId="61A5B871">
      <w:pPr>
        <w:spacing w:line="640" w:lineRule="exact"/>
        <w:ind w:firstLine="640"/>
        <w:jc w:val="both"/>
        <w:outlineLvl w:val="2"/>
      </w:pPr>
      <w:r>
        <w:rPr>
          <w:rFonts w:ascii="黑体" w:hAnsi="黑体" w:eastAsia="黑体"/>
          <w:sz w:val="32"/>
        </w:rPr>
        <w:t>二、机构设置及人员情况</w:t>
      </w:r>
    </w:p>
    <w:p w14:paraId="7631F50B">
      <w:pPr>
        <w:spacing w:line="580" w:lineRule="exact"/>
        <w:ind w:firstLine="640"/>
        <w:jc w:val="both"/>
      </w:pPr>
      <w:r>
        <w:rPr>
          <w:rFonts w:ascii="仿宋_GB2312" w:hAnsi="仿宋_GB2312" w:eastAsia="仿宋_GB2312"/>
          <w:sz w:val="32"/>
        </w:rPr>
        <w:t>中共阿图什市委员会政法委员会2024年度，实有人数71人，其中：在职人员58人，增加10人；离休人员0人，增加0人；退休人员13人,增加1人。</w:t>
      </w:r>
    </w:p>
    <w:p w14:paraId="029EC9CC">
      <w:pPr>
        <w:spacing w:line="580" w:lineRule="exact"/>
        <w:ind w:firstLine="640"/>
        <w:jc w:val="both"/>
      </w:pPr>
      <w:r>
        <w:rPr>
          <w:rFonts w:ascii="仿宋_GB2312" w:hAnsi="仿宋_GB2312" w:eastAsia="仿宋_GB2312"/>
          <w:sz w:val="32"/>
        </w:rPr>
        <w:t>中共阿图什市委员会政法委员会无下属预算单位，下设7个科室，分别是：办公室、财务室、法学会、监督科、信息科、综合科、指导科。</w:t>
      </w:r>
    </w:p>
    <w:p w14:paraId="587A62A3">
      <w:r>
        <w:br w:type="page"/>
      </w:r>
    </w:p>
    <w:p w14:paraId="7F4558CB">
      <w:pPr>
        <w:spacing w:line="240" w:lineRule="auto"/>
        <w:jc w:val="center"/>
        <w:outlineLvl w:val="1"/>
      </w:pPr>
      <w:r>
        <w:rPr>
          <w:rFonts w:ascii="黑体" w:hAnsi="黑体" w:eastAsia="黑体"/>
          <w:sz w:val="32"/>
        </w:rPr>
        <w:t>第二部分 部门决算情况说明</w:t>
      </w:r>
    </w:p>
    <w:p w14:paraId="084F088C">
      <w:pPr>
        <w:spacing w:line="640" w:lineRule="exact"/>
        <w:ind w:firstLine="640"/>
        <w:jc w:val="both"/>
        <w:outlineLvl w:val="2"/>
      </w:pPr>
      <w:r>
        <w:rPr>
          <w:rFonts w:ascii="黑体" w:hAnsi="黑体" w:eastAsia="黑体"/>
          <w:sz w:val="32"/>
        </w:rPr>
        <w:t>一、收入支出决算总体情况说明</w:t>
      </w:r>
    </w:p>
    <w:p w14:paraId="0133F505">
      <w:pPr>
        <w:spacing w:line="580" w:lineRule="exact"/>
        <w:ind w:firstLine="640"/>
        <w:jc w:val="both"/>
      </w:pPr>
      <w:r>
        <w:rPr>
          <w:rFonts w:ascii="仿宋_GB2312" w:hAnsi="仿宋_GB2312" w:eastAsia="仿宋_GB2312"/>
          <w:b/>
          <w:sz w:val="32"/>
        </w:rPr>
        <w:t>2024年度收入总计11,332.87万元，</w:t>
      </w:r>
      <w:r>
        <w:rPr>
          <w:rFonts w:ascii="仿宋_GB2312" w:hAnsi="仿宋_GB2312" w:eastAsia="仿宋_GB2312"/>
          <w:b w:val="0"/>
          <w:sz w:val="32"/>
        </w:rPr>
        <w:t>其中：本年收入合计11,223.56万元，使用非财政拨款结余（含专用结余）0.00万元，年初结转和结余109.31万元。</w:t>
      </w:r>
    </w:p>
    <w:p w14:paraId="5FF697CA">
      <w:pPr>
        <w:spacing w:line="580" w:lineRule="exact"/>
        <w:ind w:firstLine="640"/>
        <w:jc w:val="both"/>
      </w:pPr>
      <w:r>
        <w:rPr>
          <w:rFonts w:ascii="仿宋_GB2312" w:hAnsi="仿宋_GB2312" w:eastAsia="仿宋_GB2312"/>
          <w:b/>
          <w:sz w:val="32"/>
        </w:rPr>
        <w:t>2024年度支出总计11,332.87万元，</w:t>
      </w:r>
      <w:r>
        <w:rPr>
          <w:rFonts w:ascii="仿宋_GB2312" w:hAnsi="仿宋_GB2312" w:eastAsia="仿宋_GB2312"/>
          <w:b w:val="0"/>
          <w:sz w:val="32"/>
        </w:rPr>
        <w:t>其中：本年支出合计11,258.07万元，结余分配0.00万元，年末结转和结余74.80万元。</w:t>
      </w:r>
    </w:p>
    <w:p w14:paraId="30210729">
      <w:pPr>
        <w:spacing w:line="580" w:lineRule="exact"/>
        <w:ind w:firstLine="640"/>
        <w:jc w:val="both"/>
      </w:pPr>
      <w:r>
        <w:rPr>
          <w:rFonts w:ascii="仿宋_GB2312" w:hAnsi="仿宋_GB2312" w:eastAsia="仿宋_GB2312"/>
          <w:b w:val="0"/>
          <w:sz w:val="32"/>
        </w:rPr>
        <w:t>收入支出总体与上年相比，增加6,676.96万元，增长143.41%，主要原因是：1.本年在职人员工资调增、社保、公积金基数调增，人员经费增加。2.本年增加生活补助经费，导致相关经费增加。</w:t>
      </w:r>
    </w:p>
    <w:p w14:paraId="44F2CC9D">
      <w:pPr>
        <w:spacing w:line="640" w:lineRule="exact"/>
        <w:ind w:firstLine="640"/>
        <w:jc w:val="both"/>
        <w:outlineLvl w:val="2"/>
      </w:pPr>
      <w:r>
        <w:rPr>
          <w:rFonts w:ascii="黑体" w:hAnsi="黑体" w:eastAsia="黑体"/>
          <w:sz w:val="32"/>
        </w:rPr>
        <w:t>二、收入决算情况说明</w:t>
      </w:r>
    </w:p>
    <w:p w14:paraId="59A7E1D7">
      <w:pPr>
        <w:spacing w:line="580" w:lineRule="exact"/>
        <w:ind w:firstLine="640"/>
        <w:jc w:val="both"/>
      </w:pPr>
      <w:r>
        <w:rPr>
          <w:rFonts w:ascii="仿宋_GB2312" w:hAnsi="仿宋_GB2312" w:eastAsia="仿宋_GB2312"/>
          <w:b/>
          <w:sz w:val="32"/>
        </w:rPr>
        <w:t>本年收入11,223.56万元，</w:t>
      </w:r>
      <w:r>
        <w:rPr>
          <w:rFonts w:ascii="仿宋_GB2312" w:hAnsi="仿宋_GB2312" w:eastAsia="仿宋_GB2312"/>
          <w:b w:val="0"/>
          <w:sz w:val="32"/>
        </w:rPr>
        <w:t>其中：财政拨款收入11,197.93万元，占99.77%；上级补助收入0.00万元，占0.00%；事业收入0.00万元，占0.00%；经营收入0.00万元，占0.00%；附属单位上缴收入0.00万元，占0.00%；其他收入25.63万元，占0.23%。</w:t>
      </w:r>
    </w:p>
    <w:p w14:paraId="3FC235E1">
      <w:pPr>
        <w:spacing w:line="640" w:lineRule="exact"/>
        <w:ind w:firstLine="640"/>
        <w:jc w:val="both"/>
        <w:outlineLvl w:val="2"/>
      </w:pPr>
      <w:r>
        <w:rPr>
          <w:rFonts w:ascii="黑体" w:hAnsi="黑体" w:eastAsia="黑体"/>
          <w:sz w:val="32"/>
        </w:rPr>
        <w:t>三、支出决算情况说明</w:t>
      </w:r>
    </w:p>
    <w:p w14:paraId="7502DE0C">
      <w:pPr>
        <w:spacing w:line="580" w:lineRule="exact"/>
        <w:ind w:firstLine="640"/>
        <w:jc w:val="both"/>
      </w:pPr>
      <w:r>
        <w:rPr>
          <w:rFonts w:ascii="仿宋_GB2312" w:hAnsi="仿宋_GB2312" w:eastAsia="仿宋_GB2312"/>
          <w:b/>
          <w:sz w:val="32"/>
        </w:rPr>
        <w:t>本年支出11,258.07万元，</w:t>
      </w:r>
      <w:r>
        <w:rPr>
          <w:rFonts w:ascii="仿宋_GB2312" w:hAnsi="仿宋_GB2312" w:eastAsia="仿宋_GB2312"/>
          <w:b w:val="0"/>
          <w:sz w:val="32"/>
        </w:rPr>
        <w:t>其中：基本支出9,540.86万元，占84.75%；项目支出1,717.21万元，占15.25%；上缴上级支出0.00万元，占0.00%；经营支出0.00万元，占0.00%；对附属单位补助支出0.00万元，占0.00%。</w:t>
      </w:r>
    </w:p>
    <w:p w14:paraId="682DA8DA">
      <w:pPr>
        <w:spacing w:line="640" w:lineRule="exact"/>
        <w:ind w:firstLine="640"/>
        <w:jc w:val="both"/>
        <w:outlineLvl w:val="2"/>
      </w:pPr>
      <w:r>
        <w:rPr>
          <w:rFonts w:ascii="黑体" w:hAnsi="黑体" w:eastAsia="黑体"/>
          <w:sz w:val="32"/>
        </w:rPr>
        <w:t>四、财政拨款收入支出决算总体情况说明</w:t>
      </w:r>
    </w:p>
    <w:p w14:paraId="6915AEAD">
      <w:pPr>
        <w:spacing w:line="580" w:lineRule="exact"/>
        <w:ind w:firstLine="640"/>
        <w:jc w:val="both"/>
      </w:pPr>
      <w:r>
        <w:rPr>
          <w:rFonts w:ascii="仿宋_GB2312" w:hAnsi="仿宋_GB2312" w:eastAsia="仿宋_GB2312"/>
          <w:b/>
          <w:sz w:val="32"/>
        </w:rPr>
        <w:t>2024年度财政拨款收入总计11,197.93万元，</w:t>
      </w:r>
      <w:r>
        <w:rPr>
          <w:rFonts w:ascii="仿宋_GB2312" w:hAnsi="仿宋_GB2312" w:eastAsia="仿宋_GB2312"/>
          <w:b w:val="0"/>
          <w:sz w:val="32"/>
        </w:rPr>
        <w:t>其中：年初财政拨款结转和结余0.00万元，本年财政拨款收入11,197.93万元。</w:t>
      </w:r>
      <w:r>
        <w:rPr>
          <w:rFonts w:ascii="仿宋_GB2312" w:hAnsi="仿宋_GB2312" w:eastAsia="仿宋_GB2312"/>
          <w:b/>
          <w:sz w:val="32"/>
        </w:rPr>
        <w:t>财政拨款支出总计11,197.93万元，</w:t>
      </w:r>
      <w:r>
        <w:rPr>
          <w:rFonts w:ascii="仿宋_GB2312" w:hAnsi="仿宋_GB2312" w:eastAsia="仿宋_GB2312"/>
          <w:b w:val="0"/>
          <w:sz w:val="32"/>
        </w:rPr>
        <w:t>其中：年末财政拨款结转和结余0.00万元，本年财政拨款支出11,197.93万元。</w:t>
      </w:r>
    </w:p>
    <w:p w14:paraId="286D676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增加6,951.57万元，增长163.71%，主要原因是：1.本年在职人员工资调增、社保、公积金基数调增，人员经费增加。2.本年增加生活补助经费，导致相关经费增加。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年初预算数11,570.85万元，决算数11,197.93万元，预决算差异率-3.22%，主要原因是：严格落实中央八项规定精神，厉行节约，减少不必要的开支。</w:t>
      </w:r>
    </w:p>
    <w:p w14:paraId="23C15AD8">
      <w:pPr>
        <w:spacing w:line="640" w:lineRule="exact"/>
        <w:ind w:firstLine="640"/>
        <w:jc w:val="both"/>
        <w:outlineLvl w:val="2"/>
      </w:pPr>
      <w:r>
        <w:rPr>
          <w:rFonts w:ascii="黑体" w:hAnsi="黑体" w:eastAsia="黑体"/>
          <w:sz w:val="32"/>
        </w:rPr>
        <w:t>五、一般公共预算财政拨款支出决算情况说明</w:t>
      </w:r>
    </w:p>
    <w:p w14:paraId="61750929">
      <w:pPr>
        <w:spacing w:line="640" w:lineRule="exact"/>
        <w:ind w:firstLine="640"/>
        <w:jc w:val="both"/>
        <w:outlineLvl w:val="3"/>
      </w:pPr>
      <w:r>
        <w:rPr>
          <w:rFonts w:ascii="楷体_GB2312" w:hAnsi="楷体_GB2312" w:eastAsia="楷体_GB2312"/>
          <w:b/>
          <w:sz w:val="32"/>
        </w:rPr>
        <w:t>（一）一般公共预算财政拨款支出决算总体情况</w:t>
      </w:r>
    </w:p>
    <w:p w14:paraId="09309403">
      <w:pPr>
        <w:spacing w:line="580" w:lineRule="exact"/>
        <w:ind w:firstLine="640"/>
        <w:jc w:val="both"/>
      </w:pPr>
      <w:r>
        <w:rPr>
          <w:rFonts w:ascii="仿宋_GB2312" w:hAnsi="仿宋_GB2312" w:eastAsia="仿宋_GB2312"/>
          <w:b/>
          <w:sz w:val="32"/>
        </w:rPr>
        <w:t>2024年度一般公共预算财政拨款支出11,197.93万元，</w:t>
      </w:r>
      <w:r>
        <w:rPr>
          <w:rFonts w:ascii="仿宋_GB2312" w:hAnsi="仿宋_GB2312" w:eastAsia="仿宋_GB2312"/>
          <w:b w:val="0"/>
          <w:sz w:val="32"/>
        </w:rPr>
        <w:t>占本年支出合计的99.47%。</w:t>
      </w:r>
      <w:r>
        <w:rPr>
          <w:rFonts w:ascii="仿宋_GB2312" w:hAnsi="仿宋_GB2312" w:eastAsia="仿宋_GB2312"/>
          <w:b/>
          <w:sz w:val="32"/>
        </w:rPr>
        <w:t>与上年相比，</w:t>
      </w:r>
      <w:r>
        <w:rPr>
          <w:rFonts w:ascii="仿宋_GB2312" w:hAnsi="仿宋_GB2312" w:eastAsia="仿宋_GB2312"/>
          <w:b w:val="0"/>
          <w:sz w:val="32"/>
        </w:rPr>
        <w:t>增加6,951.57万元，增长163.71%，主要原因是：1.本年在职人员工资调增、社保、公积金基数调增，人员经费增加。2.本年增加生活补助经费，导致相关经费增加。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年初预算数11,570.85万元，决算数11,197.93万元，预决算差异率-3.22%，主要原因是：严格落实中央八项规定精神，厉行节约，减少不必要的开支。</w:t>
      </w:r>
    </w:p>
    <w:p w14:paraId="2D219D94">
      <w:pPr>
        <w:spacing w:line="640" w:lineRule="exact"/>
        <w:ind w:firstLine="640"/>
        <w:jc w:val="both"/>
        <w:outlineLvl w:val="3"/>
      </w:pPr>
      <w:r>
        <w:rPr>
          <w:rFonts w:ascii="楷体_GB2312" w:hAnsi="楷体_GB2312" w:eastAsia="楷体_GB2312"/>
          <w:b/>
          <w:sz w:val="32"/>
        </w:rPr>
        <w:t>（二）一般公共预算财政拨款支出决算结构情况</w:t>
      </w:r>
    </w:p>
    <w:p w14:paraId="46B4F80B">
      <w:pPr>
        <w:spacing w:line="580" w:lineRule="exact"/>
        <w:ind w:firstLine="640"/>
        <w:jc w:val="both"/>
      </w:pPr>
      <w:r>
        <w:rPr>
          <w:rFonts w:ascii="仿宋_GB2312" w:hAnsi="仿宋_GB2312" w:eastAsia="仿宋_GB2312"/>
          <w:b w:val="0"/>
          <w:sz w:val="32"/>
        </w:rPr>
        <w:t>1.一般公共服务支出(类)9,117.10万元,占81.42%。</w:t>
      </w:r>
    </w:p>
    <w:p w14:paraId="287AEA0A">
      <w:pPr>
        <w:spacing w:line="580" w:lineRule="exact"/>
        <w:ind w:firstLine="640"/>
        <w:jc w:val="both"/>
      </w:pPr>
      <w:r>
        <w:rPr>
          <w:rFonts w:ascii="仿宋_GB2312" w:hAnsi="仿宋_GB2312" w:eastAsia="仿宋_GB2312"/>
          <w:b w:val="0"/>
          <w:sz w:val="32"/>
        </w:rPr>
        <w:t>2.国防支出(类)1,817.78万元,占16.23%。</w:t>
      </w:r>
    </w:p>
    <w:p w14:paraId="13B34683">
      <w:pPr>
        <w:spacing w:line="580" w:lineRule="exact"/>
        <w:ind w:firstLine="640"/>
        <w:jc w:val="both"/>
      </w:pPr>
      <w:r>
        <w:rPr>
          <w:rFonts w:ascii="仿宋_GB2312" w:hAnsi="仿宋_GB2312" w:eastAsia="仿宋_GB2312"/>
          <w:b w:val="0"/>
          <w:sz w:val="32"/>
        </w:rPr>
        <w:t>3.社会保障和就业支出(类)140.83万元,占1.26%。</w:t>
      </w:r>
    </w:p>
    <w:p w14:paraId="5B754E29">
      <w:pPr>
        <w:spacing w:line="580" w:lineRule="exact"/>
        <w:ind w:firstLine="640"/>
        <w:jc w:val="both"/>
      </w:pPr>
      <w:r>
        <w:rPr>
          <w:rFonts w:ascii="仿宋_GB2312" w:hAnsi="仿宋_GB2312" w:eastAsia="仿宋_GB2312"/>
          <w:b w:val="0"/>
          <w:sz w:val="32"/>
        </w:rPr>
        <w:t>4.卫生健康支出(类)31.74万元,占0.28%。</w:t>
      </w:r>
    </w:p>
    <w:p w14:paraId="3B8AFBC2">
      <w:pPr>
        <w:spacing w:line="580" w:lineRule="exact"/>
        <w:ind w:firstLine="640"/>
        <w:jc w:val="both"/>
      </w:pPr>
      <w:r>
        <w:rPr>
          <w:rFonts w:ascii="仿宋_GB2312" w:hAnsi="仿宋_GB2312" w:eastAsia="仿宋_GB2312"/>
          <w:b w:val="0"/>
          <w:sz w:val="32"/>
        </w:rPr>
        <w:t>5.住房保障支出(类)74.89万元,占0.67%。</w:t>
      </w:r>
    </w:p>
    <w:p w14:paraId="60790E33">
      <w:pPr>
        <w:spacing w:line="580" w:lineRule="exact"/>
        <w:ind w:firstLine="640"/>
        <w:jc w:val="both"/>
      </w:pPr>
      <w:r>
        <w:rPr>
          <w:rFonts w:ascii="仿宋_GB2312" w:hAnsi="仿宋_GB2312" w:eastAsia="仿宋_GB2312"/>
          <w:b w:val="0"/>
          <w:sz w:val="32"/>
        </w:rPr>
        <w:t>6.其他支出(类)15.59万元,占0.14%。</w:t>
      </w:r>
    </w:p>
    <w:p w14:paraId="38F591EC">
      <w:pPr>
        <w:spacing w:line="640" w:lineRule="exact"/>
        <w:ind w:firstLine="640"/>
        <w:jc w:val="both"/>
        <w:outlineLvl w:val="3"/>
      </w:pPr>
      <w:r>
        <w:rPr>
          <w:rFonts w:ascii="楷体_GB2312" w:hAnsi="楷体_GB2312" w:eastAsia="楷体_GB2312"/>
          <w:b/>
          <w:sz w:val="32"/>
        </w:rPr>
        <w:t>（三）一般公共预算财政拨款支出决算具体情况</w:t>
      </w:r>
    </w:p>
    <w:p w14:paraId="6BE35692">
      <w:pPr>
        <w:spacing w:line="580" w:lineRule="exact"/>
        <w:ind w:firstLine="640"/>
        <w:jc w:val="both"/>
      </w:pPr>
      <w:r>
        <w:rPr>
          <w:rFonts w:ascii="仿宋_GB2312" w:hAnsi="仿宋_GB2312" w:eastAsia="仿宋_GB2312"/>
          <w:b w:val="0"/>
          <w:sz w:val="32"/>
        </w:rPr>
        <w:t>1.一般公共服务支出(类)人大事务(款)行政运行(项):支出决算数为0.00万元，比上年决算减少49.98万元，下降100.00%,主要原因是：本年功能科目调整，相关人员经费上年度在主科目列支，本年单独列支，导致经费较上年减少。</w:t>
      </w:r>
    </w:p>
    <w:p w14:paraId="06E28C4B">
      <w:pPr>
        <w:spacing w:line="580" w:lineRule="exact"/>
        <w:ind w:firstLine="640"/>
        <w:jc w:val="both"/>
      </w:pPr>
      <w:r>
        <w:rPr>
          <w:rFonts w:ascii="仿宋_GB2312" w:hAnsi="仿宋_GB2312" w:eastAsia="仿宋_GB2312"/>
          <w:b w:val="0"/>
          <w:sz w:val="32"/>
        </w:rPr>
        <w:t>2.一般公共服务支出(类)党委办公厅（室）及相关机构事务(款)行政运行(项):支出决算数为909.99万元，比上年决算减少862.79万元，下降48.67%,主要原因是：本年功能科目调整，人员经费、公用经费上年度在一般公共服务支出(类)党委办公厅（室）及相关机构事务(款)行政运行(项)科目列支，本年在一般公共服务支出(类)党委办公厅（室）及相关机构事务(款)事业运行(项)、一般公共服务支出(类)党委办公厅（室）及相关机构事务(款)其他党委办公厅（室）及相关机构事务支出(项)科目列支，导致经费较上年减少。</w:t>
      </w:r>
    </w:p>
    <w:p w14:paraId="56914E7A">
      <w:pPr>
        <w:spacing w:line="580" w:lineRule="exact"/>
        <w:ind w:firstLine="640"/>
        <w:jc w:val="both"/>
      </w:pPr>
      <w:r>
        <w:rPr>
          <w:rFonts w:ascii="仿宋_GB2312" w:hAnsi="仿宋_GB2312" w:eastAsia="仿宋_GB2312"/>
          <w:b w:val="0"/>
          <w:sz w:val="32"/>
        </w:rPr>
        <w:t>3.一般公共服务支出(类)党委办公厅（室）及相关机构事务(款)事业运行(项):支出决算数为488.89万元，比上年决算增加122.95万元，增长33.60%,主要原因是：本年功能科目调整，部分人员经费、公用经费上年度在一般公共服务支出(类)党委办公厅（室）及相关机构事务(款)行政运行(项)科目列支，本年在一般公共服务支出(类)党委办公厅（室）及相关机构事务(款)事业运行(项)列支，导致经费较上年增加。</w:t>
      </w:r>
    </w:p>
    <w:p w14:paraId="42AE87DC">
      <w:pPr>
        <w:spacing w:line="580" w:lineRule="exact"/>
        <w:ind w:firstLine="640"/>
        <w:jc w:val="both"/>
      </w:pPr>
      <w:r>
        <w:rPr>
          <w:rFonts w:ascii="仿宋_GB2312" w:hAnsi="仿宋_GB2312" w:eastAsia="仿宋_GB2312"/>
          <w:b w:val="0"/>
          <w:sz w:val="32"/>
        </w:rPr>
        <w:t>4.一般公共服务支出(类)党委办公厅（室）及相关机构事务(款)其他党委办公厅（室）及相关机构事务支出(项):支出决算数为328.40万元，比上年决算增加291.90万元，增长799.73%,主要原因是：本年功能科目调整，部分人员经费、公用经费上年度在一般公共服务支出(类)党委办公厅（室）及相关机构事务(款)行政运行(项)科目列支，本年在一般公共服务支出(类)党委办公厅（室）及相关机构事务(款)其他党委办公厅（室）及相关机构事务支出(项)列支，导致经费较上年增加。</w:t>
      </w:r>
    </w:p>
    <w:p w14:paraId="2B6D5AD3">
      <w:pPr>
        <w:spacing w:line="580" w:lineRule="exact"/>
        <w:ind w:firstLine="640"/>
        <w:jc w:val="both"/>
      </w:pPr>
      <w:r>
        <w:rPr>
          <w:rFonts w:ascii="仿宋_GB2312" w:hAnsi="仿宋_GB2312" w:eastAsia="仿宋_GB2312"/>
          <w:b w:val="0"/>
          <w:sz w:val="32"/>
        </w:rPr>
        <w:t>5.一般公共服务支出(类)组织事务(款)其他组织事务支出(项):支出决算数为0.00万元，比上年决算减少0.50万元，下降100.00%,主要原因是：本年功能科目调整，</w:t>
      </w:r>
      <w:r>
        <w:rPr>
          <w:rFonts w:hint="eastAsia" w:ascii="仿宋_GB2312" w:hAnsi="仿宋_GB2312" w:eastAsia="仿宋_GB2312"/>
          <w:b w:val="0"/>
          <w:sz w:val="32"/>
          <w:lang w:val="en-US" w:eastAsia="zh-CN"/>
        </w:rPr>
        <w:t>组织经费从本科目</w:t>
      </w:r>
      <w:r>
        <w:rPr>
          <w:rFonts w:ascii="仿宋_GB2312" w:hAnsi="仿宋_GB2312" w:eastAsia="仿宋_GB2312"/>
          <w:b w:val="0"/>
          <w:sz w:val="32"/>
        </w:rPr>
        <w:t>调整至主科目支出，导致经费下降。</w:t>
      </w:r>
    </w:p>
    <w:p w14:paraId="419650F5">
      <w:pPr>
        <w:spacing w:line="580" w:lineRule="exact"/>
        <w:ind w:firstLine="640"/>
        <w:jc w:val="both"/>
      </w:pPr>
      <w:r>
        <w:rPr>
          <w:rFonts w:ascii="仿宋_GB2312" w:hAnsi="仿宋_GB2312" w:eastAsia="仿宋_GB2312"/>
          <w:b w:val="0"/>
          <w:sz w:val="32"/>
        </w:rPr>
        <w:t>6.一般公共服务支出(类)其他共产党事务支出(款)其他共产党事务支出(项):支出决算数为7,389.82万元，比上年决算增加7,389.82万元，增长100.00%,主要原因是：本年增加生活补助经费，导致相关经费增加。</w:t>
      </w:r>
    </w:p>
    <w:p w14:paraId="7A82D7D8">
      <w:pPr>
        <w:spacing w:line="580" w:lineRule="exact"/>
        <w:ind w:firstLine="640"/>
        <w:jc w:val="both"/>
      </w:pPr>
      <w:r>
        <w:rPr>
          <w:rFonts w:ascii="仿宋_GB2312" w:hAnsi="仿宋_GB2312" w:eastAsia="仿宋_GB2312"/>
          <w:b w:val="0"/>
          <w:sz w:val="32"/>
        </w:rPr>
        <w:t>7.国防支出(类)国防动员(款)边海防(项):支出决算数为1,817.78万元，比上年决算增加1,337.08万元，增长278.15%,主要原因是：本年增加边海防项目经费，导致相关经费增加。</w:t>
      </w:r>
    </w:p>
    <w:p w14:paraId="659CCCF7">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8.社会保障和就业支出(类)行政事业单位养老支出(款)行政单位离退休(项):支出决算数为17.75万元，比上年决算增加4.29万元，增长31.87%,主要原因是：本年增加退休人员基础绩效奖，退休费支出增加。</w:t>
      </w:r>
    </w:p>
    <w:p w14:paraId="35C22F51">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92.98万元，比上年决算增加30.95万元，增长49.90%,主要原因是：本年在职人员工资基数调增，养老缴费基数上涨，相应支出增加。</w:t>
      </w:r>
    </w:p>
    <w:p w14:paraId="458B03E7">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30.10万元，比上年决算减少5.79万元，下降16.13%,主要原因是：本年新增退休人员和调出人员较上年减少，职业年金缴费较上年减少。</w:t>
      </w:r>
    </w:p>
    <w:p w14:paraId="10EE348E">
      <w:pPr>
        <w:spacing w:line="580" w:lineRule="exact"/>
        <w:ind w:firstLine="640"/>
        <w:jc w:val="both"/>
      </w:pPr>
      <w:r>
        <w:rPr>
          <w:rFonts w:ascii="仿宋_GB2312" w:hAnsi="仿宋_GB2312" w:eastAsia="仿宋_GB2312"/>
          <w:b w:val="0"/>
          <w:sz w:val="32"/>
        </w:rPr>
        <w:t>11.卫生健康支出(类)行政事业单位医疗(款)行政单位医疗(项):支出决算数为11.53万元，比上年决算增加2.76万元，增长31.47%,主要原因是：本年在职人员工资基数调增，医疗缴费基数上涨，相应支出增加。</w:t>
      </w:r>
    </w:p>
    <w:p w14:paraId="7D8E81D5">
      <w:pPr>
        <w:spacing w:line="580" w:lineRule="exact"/>
        <w:ind w:firstLine="640"/>
        <w:jc w:val="both"/>
      </w:pPr>
      <w:r>
        <w:rPr>
          <w:rFonts w:ascii="仿宋_GB2312" w:hAnsi="仿宋_GB2312" w:eastAsia="仿宋_GB2312"/>
          <w:b w:val="0"/>
          <w:sz w:val="32"/>
        </w:rPr>
        <w:t>12.卫生健康支出(类)行政事业单位医疗(款)事业单位医疗(项):支出决算数为20.21万元，比上年决算增加9.39万元，增长86.78%,主要原因是：本年在职人员工资基数调增，医疗缴费基数上涨，相应支出增加。</w:t>
      </w:r>
    </w:p>
    <w:p w14:paraId="370D1AF5">
      <w:pPr>
        <w:spacing w:line="580" w:lineRule="exact"/>
        <w:ind w:firstLine="640"/>
        <w:jc w:val="both"/>
      </w:pPr>
      <w:r>
        <w:rPr>
          <w:rFonts w:ascii="仿宋_GB2312" w:hAnsi="仿宋_GB2312" w:eastAsia="仿宋_GB2312"/>
          <w:b w:val="0"/>
          <w:sz w:val="32"/>
        </w:rPr>
        <w:t>13.住房保障支出(类)住房改革支出(款)住房公积金(项):支出决算数为74.89万元，比上年决算增加22.35万元，增长42.54%,主要原因是：本年在职人员工资基数调增，公积金缴费基数上涨，相应支出增加。</w:t>
      </w:r>
    </w:p>
    <w:p w14:paraId="0A704B68">
      <w:pPr>
        <w:spacing w:line="580" w:lineRule="exact"/>
        <w:ind w:firstLine="640"/>
        <w:jc w:val="both"/>
      </w:pPr>
      <w:r>
        <w:rPr>
          <w:rFonts w:ascii="仿宋_GB2312" w:hAnsi="仿宋_GB2312" w:eastAsia="仿宋_GB2312"/>
          <w:b w:val="0"/>
          <w:sz w:val="32"/>
        </w:rPr>
        <w:t>14.其他支出(类)其他支出(款)其他支出(项):支出决算数为15.59万元，比上年决算减少1,340.86万元，下降98.85%,主要原因是：功能科目调整，边海防项目经费</w:t>
      </w:r>
      <w:r>
        <w:rPr>
          <w:rFonts w:hint="eastAsia" w:ascii="仿宋_GB2312" w:hAnsi="仿宋_GB2312" w:eastAsia="仿宋_GB2312"/>
          <w:b w:val="0"/>
          <w:sz w:val="32"/>
          <w:lang w:val="en-US" w:eastAsia="zh-CN"/>
        </w:rPr>
        <w:t>从本科目</w:t>
      </w:r>
      <w:r>
        <w:rPr>
          <w:rFonts w:ascii="仿宋_GB2312" w:hAnsi="仿宋_GB2312" w:eastAsia="仿宋_GB2312"/>
          <w:b w:val="0"/>
          <w:sz w:val="32"/>
        </w:rPr>
        <w:t>调整至国防支出（类）国防支出（款）边海防（项），导致经费减少。</w:t>
      </w:r>
    </w:p>
    <w:p w14:paraId="17FDF079">
      <w:pPr>
        <w:spacing w:line="640" w:lineRule="exact"/>
        <w:ind w:firstLine="640"/>
        <w:jc w:val="both"/>
        <w:outlineLvl w:val="2"/>
      </w:pPr>
      <w:r>
        <w:rPr>
          <w:rFonts w:ascii="黑体" w:hAnsi="黑体" w:eastAsia="黑体"/>
          <w:sz w:val="32"/>
        </w:rPr>
        <w:t>六、一般公共预算财政拨款基本支出决算情况说明</w:t>
      </w:r>
    </w:p>
    <w:p w14:paraId="6A81F7A1">
      <w:pPr>
        <w:spacing w:line="580" w:lineRule="exact"/>
        <w:ind w:firstLine="640"/>
        <w:jc w:val="both"/>
      </w:pPr>
      <w:r>
        <w:rPr>
          <w:rFonts w:ascii="仿宋_GB2312" w:hAnsi="仿宋_GB2312" w:eastAsia="仿宋_GB2312"/>
          <w:b w:val="0"/>
          <w:sz w:val="32"/>
        </w:rPr>
        <w:t>2024年度一般公共预算财政拨款基本支出9,480.72万元，其中：</w:t>
      </w:r>
      <w:r>
        <w:rPr>
          <w:rFonts w:ascii="仿宋_GB2312" w:hAnsi="仿宋_GB2312" w:eastAsia="仿宋_GB2312"/>
          <w:b/>
          <w:sz w:val="32"/>
        </w:rPr>
        <w:t>人员经费8,981.61万元，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生活补助、其他对个人和家庭的补助。</w:t>
      </w:r>
    </w:p>
    <w:p w14:paraId="6CD656B7">
      <w:pPr>
        <w:spacing w:line="580" w:lineRule="exact"/>
        <w:ind w:firstLine="640"/>
        <w:jc w:val="both"/>
      </w:pPr>
      <w:r>
        <w:rPr>
          <w:rFonts w:ascii="仿宋_GB2312" w:hAnsi="仿宋_GB2312" w:eastAsia="仿宋_GB2312"/>
          <w:b/>
          <w:sz w:val="32"/>
        </w:rPr>
        <w:t>公用经费499.11万元，</w:t>
      </w:r>
      <w:r>
        <w:rPr>
          <w:rFonts w:ascii="仿宋_GB2312" w:hAnsi="仿宋_GB2312" w:eastAsia="仿宋_GB2312"/>
          <w:b w:val="0"/>
          <w:sz w:val="32"/>
        </w:rPr>
        <w:t>包括：办公费、印刷费、水费、电费、邮电费、取暖费、差旅费、维修（护）费、公务用车运行维护费、办公设备购置。</w:t>
      </w:r>
    </w:p>
    <w:p w14:paraId="61A6B67F">
      <w:pPr>
        <w:spacing w:line="640" w:lineRule="exact"/>
        <w:ind w:firstLine="640"/>
        <w:jc w:val="both"/>
        <w:outlineLvl w:val="2"/>
      </w:pPr>
      <w:r>
        <w:rPr>
          <w:rFonts w:ascii="黑体" w:hAnsi="黑体" w:eastAsia="黑体"/>
          <w:sz w:val="32"/>
        </w:rPr>
        <w:t>七、政府性基金预算财政拨款收入支出决算情况说明</w:t>
      </w:r>
    </w:p>
    <w:p w14:paraId="7CB410B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5F926BA">
      <w:pPr>
        <w:spacing w:line="640" w:lineRule="exact"/>
        <w:ind w:firstLine="640"/>
        <w:jc w:val="both"/>
        <w:outlineLvl w:val="2"/>
      </w:pPr>
      <w:r>
        <w:rPr>
          <w:rFonts w:ascii="黑体" w:hAnsi="黑体" w:eastAsia="黑体"/>
          <w:sz w:val="32"/>
        </w:rPr>
        <w:t>八、国有资本经营预算财政拨款收入支出决算情况说明</w:t>
      </w:r>
    </w:p>
    <w:p w14:paraId="4CADACE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79A0D1A">
      <w:pPr>
        <w:spacing w:line="640" w:lineRule="exact"/>
        <w:ind w:firstLine="640"/>
        <w:jc w:val="both"/>
        <w:outlineLvl w:val="2"/>
      </w:pPr>
      <w:r>
        <w:rPr>
          <w:rFonts w:ascii="黑体" w:hAnsi="黑体" w:eastAsia="黑体"/>
          <w:sz w:val="32"/>
        </w:rPr>
        <w:t>九、财政拨款“三公”经费支出决算情况说明</w:t>
      </w:r>
    </w:p>
    <w:p w14:paraId="2B067A41">
      <w:pPr>
        <w:spacing w:line="580" w:lineRule="exact"/>
        <w:ind w:firstLine="640"/>
        <w:jc w:val="both"/>
      </w:pPr>
      <w:r>
        <w:rPr>
          <w:rFonts w:ascii="仿宋_GB2312" w:hAnsi="仿宋_GB2312" w:eastAsia="仿宋_GB2312"/>
          <w:b/>
          <w:sz w:val="32"/>
        </w:rPr>
        <w:t>2024年度财政拨款“三公”经费支出23.85万元，</w:t>
      </w:r>
      <w:r>
        <w:rPr>
          <w:rFonts w:ascii="仿宋_GB2312" w:hAnsi="仿宋_GB2312" w:eastAsia="仿宋_GB2312"/>
          <w:b w:val="0"/>
          <w:sz w:val="32"/>
        </w:rPr>
        <w:t>比上年减少20.21万元，下降45.87%，主要原因是：严格执行</w:t>
      </w:r>
      <w:r>
        <w:rPr>
          <w:rFonts w:hint="eastAsia" w:ascii="仿宋_GB2312" w:hAnsi="仿宋_GB2312" w:eastAsia="仿宋_GB2312"/>
          <w:b w:val="0"/>
          <w:sz w:val="32"/>
          <w:lang w:eastAsia="zh-CN"/>
        </w:rPr>
        <w:t>中央八项规定</w:t>
      </w:r>
      <w:r>
        <w:rPr>
          <w:rFonts w:ascii="仿宋_GB2312" w:hAnsi="仿宋_GB2312" w:eastAsia="仿宋_GB2312"/>
          <w:b w:val="0"/>
          <w:sz w:val="32"/>
        </w:rPr>
        <w:t>，厉行节约，减少公务用车运行维护费。其中：因公出国（境）费支出0.00万元，占0.00%，比上年增加0.00万元，增长0.00%，主要原因是：2023年与2024年均未安排因公出国（境）费支出。公务用车购置及运行维护费支出23.85万元，占100.00%，比上年减少20.21万元，下降45.87%，主要原因是：严格执行</w:t>
      </w:r>
      <w:r>
        <w:rPr>
          <w:rFonts w:hint="eastAsia" w:ascii="仿宋_GB2312" w:hAnsi="仿宋_GB2312" w:eastAsia="仿宋_GB2312"/>
          <w:b w:val="0"/>
          <w:sz w:val="32"/>
          <w:lang w:eastAsia="zh-CN"/>
        </w:rPr>
        <w:t>中央八项规定</w:t>
      </w:r>
      <w:r>
        <w:rPr>
          <w:rFonts w:ascii="仿宋_GB2312" w:hAnsi="仿宋_GB2312" w:eastAsia="仿宋_GB2312"/>
          <w:b w:val="0"/>
          <w:sz w:val="32"/>
        </w:rPr>
        <w:t>，厉行节约，减少公务用车运行维护费。公务接待费支出0.00万元，占0.00%，比上年增加0.00万元，增长0.00%，主要原因是：2023年与2024年均未安排公务接待费支出。</w:t>
      </w:r>
    </w:p>
    <w:p w14:paraId="73F64C2F">
      <w:pPr>
        <w:spacing w:line="580" w:lineRule="exact"/>
        <w:ind w:firstLine="640"/>
        <w:jc w:val="both"/>
      </w:pPr>
      <w:r>
        <w:rPr>
          <w:rFonts w:ascii="仿宋_GB2312" w:hAnsi="仿宋_GB2312" w:eastAsia="仿宋_GB2312"/>
          <w:b/>
          <w:sz w:val="32"/>
        </w:rPr>
        <w:t>具体情况如下：</w:t>
      </w:r>
    </w:p>
    <w:p w14:paraId="2642ADD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ACBC842">
      <w:pPr>
        <w:spacing w:line="580" w:lineRule="exact"/>
        <w:ind w:firstLine="640"/>
        <w:jc w:val="both"/>
      </w:pPr>
      <w:r>
        <w:rPr>
          <w:rFonts w:ascii="仿宋_GB2312" w:hAnsi="仿宋_GB2312" w:eastAsia="仿宋_GB2312"/>
          <w:b w:val="0"/>
          <w:sz w:val="32"/>
        </w:rPr>
        <w:t>公务用车购置及运行维护费23.85万元，其中：公务用车购置费0.00万元，公务用车运行维护费23.85万元。公务用车运行维护费开支内容包括车辆加油费、维修费、过路费等。公务用车购置数0辆，公务用车保有量4辆。国有资产占用情况中固定资产车辆4辆，与公务用车保有量差异原因是：本单位固定资产车辆与公务用车保有量一致无差异。</w:t>
      </w:r>
    </w:p>
    <w:p w14:paraId="0B395E0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0E0891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23.85万元，决算数23.85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23.85万元，决算数23.85万元，预决算差异率0.00%，主要原因是：严格按照预算执行，预决算无差异。公务接待费全年预算数0.00万元，决算数0.00万元，预决算差异率0.00%，主要原因是：本单位无公务接待费。</w:t>
      </w:r>
    </w:p>
    <w:p w14:paraId="4AC9A60B">
      <w:pPr>
        <w:spacing w:line="640" w:lineRule="exact"/>
        <w:ind w:firstLine="640"/>
        <w:jc w:val="both"/>
        <w:outlineLvl w:val="2"/>
      </w:pPr>
      <w:r>
        <w:rPr>
          <w:rFonts w:ascii="黑体" w:hAnsi="黑体" w:eastAsia="黑体"/>
          <w:sz w:val="32"/>
        </w:rPr>
        <w:t>十、其他重要事项的情况说明</w:t>
      </w:r>
    </w:p>
    <w:p w14:paraId="56D8D9C5">
      <w:pPr>
        <w:spacing w:line="640" w:lineRule="exact"/>
        <w:ind w:firstLine="640"/>
        <w:jc w:val="both"/>
        <w:outlineLvl w:val="3"/>
      </w:pPr>
      <w:r>
        <w:rPr>
          <w:rFonts w:ascii="楷体_GB2312" w:hAnsi="楷体_GB2312" w:eastAsia="楷体_GB2312"/>
          <w:b/>
          <w:sz w:val="32"/>
        </w:rPr>
        <w:t>（一）机关运行经费及公用经费支出情况</w:t>
      </w:r>
    </w:p>
    <w:p w14:paraId="25C1534A">
      <w:pPr>
        <w:spacing w:line="580" w:lineRule="exact"/>
        <w:ind w:firstLine="640"/>
        <w:jc w:val="both"/>
      </w:pPr>
      <w:r>
        <w:rPr>
          <w:rFonts w:ascii="仿宋_GB2312" w:hAnsi="仿宋_GB2312" w:eastAsia="仿宋_GB2312"/>
          <w:b w:val="0"/>
          <w:sz w:val="32"/>
        </w:rPr>
        <w:t>2024年度中共阿图什市委员会政法委员会（行政单位和参照公务员法管理事业单位）机关运行经费支出499.11万元，比上年减少454.92万元，下降47.68%，主要原因是：本年减少办公费、邮电费等经费，导致机关运行经费减少。</w:t>
      </w:r>
    </w:p>
    <w:p w14:paraId="4B86BB0F">
      <w:pPr>
        <w:spacing w:line="640" w:lineRule="exact"/>
        <w:ind w:firstLine="640"/>
        <w:jc w:val="both"/>
        <w:outlineLvl w:val="3"/>
      </w:pPr>
      <w:r>
        <w:rPr>
          <w:rFonts w:ascii="楷体_GB2312" w:hAnsi="楷体_GB2312" w:eastAsia="楷体_GB2312"/>
          <w:b/>
          <w:sz w:val="32"/>
        </w:rPr>
        <w:t>（二）政府采购情况</w:t>
      </w:r>
    </w:p>
    <w:p w14:paraId="69F89241">
      <w:pPr>
        <w:spacing w:line="580" w:lineRule="exact"/>
        <w:ind w:firstLine="640"/>
        <w:jc w:val="both"/>
      </w:pPr>
      <w:r>
        <w:rPr>
          <w:rFonts w:ascii="仿宋_GB2312" w:hAnsi="仿宋_GB2312" w:eastAsia="仿宋_GB2312"/>
          <w:b w:val="0"/>
          <w:sz w:val="32"/>
        </w:rPr>
        <w:t>2024年度政府采购支出总额246.16万元，其中：政府采购货物支出81.24万元、政府采购工程支出0.00万元、政府采购服务支出164.93万元。</w:t>
      </w:r>
    </w:p>
    <w:p w14:paraId="7AF46162">
      <w:pPr>
        <w:spacing w:line="580" w:lineRule="exact"/>
        <w:ind w:firstLine="640"/>
        <w:jc w:val="both"/>
      </w:pPr>
      <w:r>
        <w:rPr>
          <w:rFonts w:ascii="仿宋_GB2312" w:hAnsi="仿宋_GB2312" w:eastAsia="仿宋_GB2312"/>
          <w:b w:val="0"/>
          <w:sz w:val="32"/>
        </w:rPr>
        <w:t>授予中小企业合同金额209.24万元，占政府采购支出总额的85.00%，其中：授予小微企业合同金额145.92万元，占政府采购支出总额的59.28%。</w:t>
      </w:r>
    </w:p>
    <w:p w14:paraId="23B0FA72">
      <w:pPr>
        <w:spacing w:line="640" w:lineRule="exact"/>
        <w:ind w:firstLine="640"/>
        <w:jc w:val="both"/>
        <w:outlineLvl w:val="3"/>
      </w:pPr>
      <w:r>
        <w:rPr>
          <w:rFonts w:ascii="楷体_GB2312" w:hAnsi="楷体_GB2312" w:eastAsia="楷体_GB2312"/>
          <w:b/>
          <w:sz w:val="32"/>
        </w:rPr>
        <w:t>（三）国有资产占用情况说明</w:t>
      </w:r>
    </w:p>
    <w:p w14:paraId="34143FD4">
      <w:pPr>
        <w:spacing w:line="580" w:lineRule="exact"/>
        <w:ind w:firstLine="640"/>
        <w:jc w:val="both"/>
      </w:pPr>
      <w:r>
        <w:rPr>
          <w:rFonts w:ascii="仿宋_GB2312" w:hAnsi="仿宋_GB2312" w:eastAsia="仿宋_GB2312"/>
          <w:b w:val="0"/>
          <w:sz w:val="32"/>
        </w:rPr>
        <w:t>截至2024年12月31日，房屋674.72平方米，价值393.13万元。车辆4辆，价值50.49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5台（套）。</w:t>
      </w:r>
    </w:p>
    <w:p w14:paraId="76E31063">
      <w:pPr>
        <w:spacing w:line="640" w:lineRule="exact"/>
        <w:ind w:firstLine="640"/>
        <w:jc w:val="both"/>
        <w:outlineLvl w:val="2"/>
      </w:pPr>
      <w:r>
        <w:rPr>
          <w:rFonts w:ascii="黑体" w:hAnsi="黑体" w:eastAsia="黑体"/>
          <w:sz w:val="32"/>
        </w:rPr>
        <w:t>十一、预算绩效的情况说明</w:t>
      </w:r>
    </w:p>
    <w:p w14:paraId="4BFC931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11,332.87万元，实际执行总额11,258.07万元；预算绩效评价项目24个，全年预算数11,258.07万元，全年执行数11,258.07万元。</w:t>
      </w:r>
    </w:p>
    <w:p w14:paraId="1A67030E">
      <w:pPr>
        <w:spacing w:line="580" w:lineRule="exact"/>
        <w:ind w:firstLine="640"/>
        <w:jc w:val="both"/>
      </w:pPr>
      <w:r>
        <w:rPr>
          <w:rFonts w:ascii="仿宋_GB2312" w:hAnsi="仿宋_GB2312" w:eastAsia="仿宋_GB2312"/>
          <w:b w:val="0"/>
          <w:sz w:val="32"/>
        </w:rPr>
        <w:t>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绩效自评项目SM不予公开。发现的问题及原因：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绩效自评项目SM不予公开。下一步改进措施：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绩效自评项目SM不予公开。具体附整体支出绩效自评表。</w:t>
      </w:r>
    </w:p>
    <w:p w14:paraId="791DE3D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900785A">
        <w:tblPrEx>
          <w:tblCellMar>
            <w:top w:w="0" w:type="dxa"/>
            <w:left w:w="108" w:type="dxa"/>
            <w:bottom w:w="0" w:type="dxa"/>
            <w:right w:w="108" w:type="dxa"/>
          </w:tblCellMar>
        </w:tblPrEx>
        <w:tc>
          <w:tcPr>
            <w:tcW w:w="8840" w:type="dxa"/>
            <w:gridSpan w:val="8"/>
            <w:vAlign w:val="center"/>
          </w:tcPr>
          <w:p w14:paraId="115B94EA">
            <w:pPr>
              <w:jc w:val="center"/>
            </w:pPr>
            <w:r>
              <w:rPr>
                <w:rFonts w:ascii="宋体" w:hAnsi="宋体" w:eastAsia="宋体"/>
                <w:sz w:val="24"/>
              </w:rPr>
              <w:t>单位整体支出绩效自评表</w:t>
            </w:r>
          </w:p>
        </w:tc>
      </w:tr>
      <w:tr w14:paraId="324B1EBD">
        <w:tblPrEx>
          <w:tblCellMar>
            <w:top w:w="0" w:type="dxa"/>
            <w:left w:w="108" w:type="dxa"/>
            <w:bottom w:w="0" w:type="dxa"/>
            <w:right w:w="108" w:type="dxa"/>
          </w:tblCellMar>
        </w:tblPrEx>
        <w:tc>
          <w:tcPr>
            <w:tcW w:w="8840" w:type="dxa"/>
            <w:gridSpan w:val="8"/>
            <w:vAlign w:val="center"/>
          </w:tcPr>
          <w:p w14:paraId="41B50CE6">
            <w:pPr>
              <w:jc w:val="center"/>
            </w:pPr>
            <w:r>
              <w:rPr>
                <w:rFonts w:ascii="宋体" w:hAnsi="宋体" w:eastAsia="宋体"/>
                <w:sz w:val="24"/>
              </w:rPr>
              <w:t>（2024年度）</w:t>
            </w:r>
          </w:p>
        </w:tc>
      </w:tr>
      <w:tr w14:paraId="128A311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AA4C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C4867E">
            <w:pPr>
              <w:jc w:val="center"/>
            </w:pPr>
            <w:r>
              <w:rPr>
                <w:rFonts w:ascii="宋体" w:hAnsi="宋体" w:eastAsia="宋体"/>
                <w:sz w:val="16"/>
              </w:rPr>
              <w:t>中共阿图什市委员会政法委员会</w:t>
            </w:r>
          </w:p>
        </w:tc>
      </w:tr>
      <w:tr w14:paraId="3CC646A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66AD3">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D965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A7B2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9409E">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83A728">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6BDD8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FF97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93BB88">
            <w:pPr>
              <w:jc w:val="center"/>
            </w:pPr>
            <w:r>
              <w:rPr>
                <w:rFonts w:ascii="宋体" w:hAnsi="宋体" w:eastAsia="宋体"/>
                <w:sz w:val="16"/>
              </w:rPr>
              <w:t>得分</w:t>
            </w:r>
          </w:p>
        </w:tc>
      </w:tr>
      <w:tr w14:paraId="53BFC5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DCDD3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9612E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008BEE">
            <w:pPr>
              <w:jc w:val="center"/>
            </w:pPr>
            <w:r>
              <w:rPr>
                <w:rFonts w:ascii="宋体" w:hAnsi="宋体" w:eastAsia="宋体"/>
                <w:sz w:val="16"/>
              </w:rPr>
              <w:t>11,109.89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0C05B">
            <w:pPr>
              <w:jc w:val="center"/>
            </w:pPr>
            <w:r>
              <w:rPr>
                <w:rFonts w:ascii="宋体" w:hAnsi="宋体" w:eastAsia="宋体"/>
                <w:sz w:val="16"/>
              </w:rPr>
              <w:t>11,332.87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20692F">
            <w:pPr>
              <w:jc w:val="center"/>
            </w:pPr>
            <w:r>
              <w:rPr>
                <w:rFonts w:ascii="宋体" w:hAnsi="宋体" w:eastAsia="宋体"/>
                <w:sz w:val="16"/>
              </w:rPr>
              <w:t>11,258.07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77D7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400D2">
            <w:pPr>
              <w:jc w:val="center"/>
            </w:pPr>
            <w:r>
              <w:rPr>
                <w:rFonts w:ascii="宋体" w:hAnsi="宋体" w:eastAsia="宋体"/>
                <w:sz w:val="16"/>
              </w:rPr>
              <w:t>99.34%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7DD52">
            <w:pPr>
              <w:jc w:val="center"/>
              <w:rPr>
                <w:rFonts w:hint="default" w:eastAsia="宋体"/>
                <w:lang w:val="en-US" w:eastAsia="zh-CN"/>
              </w:rPr>
            </w:pPr>
            <w:r>
              <w:rPr>
                <w:rFonts w:ascii="宋体" w:hAnsi="宋体" w:eastAsia="宋体"/>
                <w:sz w:val="16"/>
              </w:rPr>
              <w:t>9</w:t>
            </w:r>
            <w:r>
              <w:rPr>
                <w:rFonts w:hint="eastAsia" w:ascii="宋体" w:hAnsi="宋体"/>
                <w:sz w:val="16"/>
                <w:lang w:val="en-US" w:eastAsia="zh-CN"/>
              </w:rPr>
              <w:t>.93</w:t>
            </w:r>
          </w:p>
        </w:tc>
      </w:tr>
      <w:tr w14:paraId="5E4543F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89F8B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65ED7">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7F1476">
            <w:pPr>
              <w:jc w:val="center"/>
            </w:pPr>
            <w:r>
              <w:rPr>
                <w:rFonts w:ascii="宋体" w:hAnsi="宋体" w:eastAsia="宋体"/>
                <w:sz w:val="16"/>
              </w:rPr>
              <w:t>7,256.00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7EDE1E">
            <w:pPr>
              <w:jc w:val="center"/>
            </w:pPr>
            <w:r>
              <w:rPr>
                <w:rFonts w:ascii="宋体" w:hAnsi="宋体" w:eastAsia="宋体"/>
                <w:sz w:val="16"/>
              </w:rPr>
              <w:t>717.21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8F6BE0">
            <w:pPr>
              <w:jc w:val="center"/>
            </w:pPr>
            <w:r>
              <w:rPr>
                <w:rFonts w:ascii="宋体" w:hAnsi="宋体" w:eastAsia="宋体"/>
                <w:sz w:val="16"/>
              </w:rPr>
              <w:t>717.21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7C3DF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0D4B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1E989">
            <w:pPr>
              <w:jc w:val="center"/>
            </w:pPr>
            <w:r>
              <w:rPr>
                <w:rFonts w:ascii="宋体" w:hAnsi="宋体" w:eastAsia="宋体"/>
                <w:sz w:val="16"/>
              </w:rPr>
              <w:t>—</w:t>
            </w:r>
          </w:p>
        </w:tc>
      </w:tr>
      <w:tr w14:paraId="77DCD05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27381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FE3570">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B0F00">
            <w:pPr>
              <w:jc w:val="center"/>
            </w:pPr>
            <w:r>
              <w:rPr>
                <w:rFonts w:ascii="宋体" w:hAnsi="宋体" w:eastAsia="宋体"/>
                <w:sz w:val="16"/>
              </w:rPr>
              <w:t>3,853.89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3E0FD1">
            <w:pPr>
              <w:jc w:val="center"/>
            </w:pPr>
            <w:r>
              <w:rPr>
                <w:rFonts w:ascii="宋体" w:hAnsi="宋体" w:eastAsia="宋体"/>
                <w:sz w:val="16"/>
              </w:rPr>
              <w:t>10,615.66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B2AFF0">
            <w:pPr>
              <w:jc w:val="center"/>
            </w:pPr>
            <w:r>
              <w:rPr>
                <w:rFonts w:ascii="宋体" w:hAnsi="宋体" w:eastAsia="宋体"/>
                <w:sz w:val="16"/>
              </w:rPr>
              <w:t>10,540.86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DE56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A29D3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CB7219">
            <w:pPr>
              <w:jc w:val="center"/>
            </w:pPr>
            <w:r>
              <w:rPr>
                <w:rFonts w:ascii="宋体" w:hAnsi="宋体" w:eastAsia="宋体"/>
                <w:sz w:val="16"/>
              </w:rPr>
              <w:t>—</w:t>
            </w:r>
          </w:p>
        </w:tc>
      </w:tr>
      <w:tr w14:paraId="744560A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C8591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C8A1D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4EDEA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9FDF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3820E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7804E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062C8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0C8DF0">
            <w:pPr>
              <w:jc w:val="center"/>
            </w:pPr>
            <w:r>
              <w:rPr>
                <w:rFonts w:ascii="宋体" w:hAnsi="宋体" w:eastAsia="宋体"/>
                <w:sz w:val="16"/>
              </w:rPr>
              <w:t>—</w:t>
            </w:r>
          </w:p>
        </w:tc>
      </w:tr>
      <w:tr w14:paraId="6DBB0D3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3F42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FC866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51E448">
            <w:pPr>
              <w:jc w:val="center"/>
            </w:pPr>
            <w:r>
              <w:rPr>
                <w:rFonts w:ascii="宋体" w:hAnsi="宋体" w:eastAsia="宋体"/>
                <w:sz w:val="16"/>
              </w:rPr>
              <w:t>实际完成情况</w:t>
            </w:r>
          </w:p>
        </w:tc>
      </w:tr>
      <w:tr w14:paraId="5BF0587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C3BD4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13DDA4">
            <w:pPr>
              <w:jc w:val="both"/>
            </w:pPr>
            <w:r>
              <w:rPr>
                <w:rFonts w:ascii="宋体" w:hAnsi="宋体" w:eastAsia="宋体"/>
                <w:sz w:val="16"/>
              </w:rPr>
              <w:t>单位基本职能：（一）指导督促政法各部门贯彻执行中共的路线、方针、政策和上级的指示及同级</w:t>
            </w:r>
            <w:r>
              <w:rPr>
                <w:rFonts w:hint="eastAsia" w:ascii="宋体" w:hAnsi="宋体"/>
                <w:sz w:val="16"/>
                <w:lang w:eastAsia="zh-CN"/>
              </w:rPr>
              <w:t>党委、政府</w:t>
            </w:r>
            <w:r>
              <w:rPr>
                <w:rFonts w:ascii="宋体" w:hAnsi="宋体" w:eastAsia="宋体"/>
                <w:sz w:val="16"/>
              </w:rPr>
              <w:t xml:space="preserve">的工作部署，统一政法各部门的思想和行动。（二）定期分析社会治安形势，对一定时期本地的政法工作作出全面部署。（三）组织推动政法部门开展新形势下加强和改革政法工作的调查研究，及时向同级党委提出建议和意见。（四）指导社会治安治理，协调各部门落实社会治安综合治理各项措施。（五）研究指导政法队伍建设，协调组织部门做好政法各部门领导班子建设和干部考核管理。（六）切实履行政法委职能，抓好执法督促工作，支持和督促政法各部门依法行使职权，协调政法各部门的关系，重大业务问题和有争议的重大疑难案件。（七）指导下级各部门政法工作。（八）地方政法委完成同级党委和上级政法委交办事项。 </w:t>
            </w:r>
            <w:r>
              <w:rPr>
                <w:rFonts w:ascii="宋体" w:hAnsi="宋体" w:eastAsia="宋体"/>
                <w:sz w:val="16"/>
              </w:rPr>
              <w:br w:type="textWrapping"/>
            </w:r>
            <w:r>
              <w:rPr>
                <w:rFonts w:ascii="宋体" w:hAnsi="宋体" w:eastAsia="宋体"/>
                <w:sz w:val="16"/>
              </w:rPr>
              <w:t xml:space="preserve">机构设置及人员配置：阿图什市政法委编制数70，实有人数68人，其中：在职57人，退休11人； </w:t>
            </w:r>
            <w:r>
              <w:rPr>
                <w:rFonts w:ascii="宋体" w:hAnsi="宋体" w:eastAsia="宋体"/>
                <w:sz w:val="16"/>
              </w:rPr>
              <w:br w:type="textWrapping"/>
            </w:r>
            <w:r>
              <w:rPr>
                <w:rFonts w:ascii="宋体" w:hAnsi="宋体" w:eastAsia="宋体"/>
                <w:sz w:val="16"/>
              </w:rPr>
              <w:t xml:space="preserve">中长期规划：着力提高政法队伍司法能力和服务水平，更好地服从服务于全市发展工作，努力实现“发案少、秩序好、社会稳定、群众满意”的工作目标，开创全市政法工作新局面。                                                    目标1：保障本单位职工工资及各项缴费正常发放。 </w:t>
            </w:r>
            <w:r>
              <w:rPr>
                <w:rFonts w:ascii="宋体" w:hAnsi="宋体" w:eastAsia="宋体"/>
                <w:sz w:val="16"/>
              </w:rPr>
              <w:br w:type="textWrapping"/>
            </w:r>
            <w:r>
              <w:rPr>
                <w:rFonts w:ascii="宋体" w:hAnsi="宋体" w:eastAsia="宋体"/>
                <w:sz w:val="16"/>
              </w:rPr>
              <w:t>目标2：保障各项目顺利实施。</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73A89E">
            <w:pPr>
              <w:jc w:val="both"/>
            </w:pPr>
            <w:r>
              <w:rPr>
                <w:rFonts w:ascii="宋体" w:hAnsi="宋体" w:eastAsia="宋体"/>
                <w:sz w:val="16"/>
              </w:rPr>
              <w:t xml:space="preserve">本单位共计支出11258.07万元，用于保障部门在职57人，退休11人的工资福利、各项补助正常发放及部门单位正常运转，单位预算项目根据年初计划均已完成，着力提高政法队伍司法能力和服务水平，更好地服从服务于全市发展工作，努力实现“发案少、秩序好、社会稳定、群众满意”的工作目标，开创全市政法工作新局面，年度任务中，保障部门预算项目数24个，开展政法宣传次数4次等目标。 </w:t>
            </w:r>
            <w:r>
              <w:rPr>
                <w:rFonts w:ascii="宋体" w:hAnsi="宋体" w:eastAsia="宋体"/>
                <w:sz w:val="16"/>
              </w:rPr>
              <w:br w:type="textWrapping"/>
            </w:r>
          </w:p>
        </w:tc>
      </w:tr>
      <w:tr w14:paraId="03BBB64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3C83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19C3F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60ED1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E5020E">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91C45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81ABB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9E6C1">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D0D0B">
            <w:pPr>
              <w:jc w:val="center"/>
            </w:pPr>
            <w:r>
              <w:rPr>
                <w:rFonts w:ascii="宋体" w:hAnsi="宋体" w:eastAsia="宋体"/>
                <w:sz w:val="16"/>
              </w:rPr>
              <w:t>得分</w:t>
            </w:r>
          </w:p>
        </w:tc>
      </w:tr>
      <w:tr w14:paraId="1B6CE0B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5E2C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20DC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8DD779">
            <w:pPr>
              <w:jc w:val="center"/>
            </w:pPr>
            <w:r>
              <w:rPr>
                <w:rFonts w:ascii="宋体" w:hAnsi="宋体" w:eastAsia="宋体"/>
                <w:sz w:val="16"/>
              </w:rPr>
              <w:t>保障部门预算项目数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CAB624">
            <w:pPr>
              <w:jc w:val="center"/>
            </w:pPr>
            <w:r>
              <w:rPr>
                <w:rFonts w:ascii="宋体" w:hAnsi="宋体" w:eastAsia="宋体"/>
                <w:sz w:val="16"/>
              </w:rPr>
              <w:t>=24个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DED448">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ED7FF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807F7">
            <w:pPr>
              <w:jc w:val="center"/>
            </w:pPr>
            <w:r>
              <w:rPr>
                <w:rFonts w:ascii="宋体" w:hAnsi="宋体" w:eastAsia="宋体"/>
                <w:sz w:val="16"/>
              </w:rPr>
              <w:t>24个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179196">
            <w:pPr>
              <w:jc w:val="center"/>
            </w:pPr>
            <w:r>
              <w:rPr>
                <w:rFonts w:ascii="宋体" w:hAnsi="宋体" w:eastAsia="宋体"/>
                <w:sz w:val="16"/>
              </w:rPr>
              <w:t>18</w:t>
            </w:r>
          </w:p>
        </w:tc>
      </w:tr>
      <w:tr w14:paraId="3470D5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88BD3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D2AB8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F5B38">
            <w:pPr>
              <w:jc w:val="center"/>
            </w:pPr>
            <w:r>
              <w:rPr>
                <w:rFonts w:ascii="宋体" w:hAnsi="宋体" w:eastAsia="宋体"/>
                <w:sz w:val="16"/>
              </w:rPr>
              <w:t>开展政法宣传次数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668E7">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CA32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37E8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1CF9C">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D2EA5">
            <w:pPr>
              <w:jc w:val="center"/>
            </w:pPr>
            <w:r>
              <w:rPr>
                <w:rFonts w:ascii="宋体" w:hAnsi="宋体" w:eastAsia="宋体"/>
                <w:sz w:val="16"/>
              </w:rPr>
              <w:t>18</w:t>
            </w:r>
          </w:p>
        </w:tc>
      </w:tr>
      <w:tr w14:paraId="52493D9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41483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2B20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54CC0">
            <w:pPr>
              <w:jc w:val="center"/>
            </w:pPr>
            <w:r>
              <w:rPr>
                <w:rFonts w:ascii="宋体" w:hAnsi="宋体" w:eastAsia="宋体"/>
                <w:sz w:val="16"/>
              </w:rPr>
              <w:t>全市政法宣传工作覆盖率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9AD1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D236E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0F714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8EF4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F8B926">
            <w:pPr>
              <w:jc w:val="center"/>
            </w:pPr>
            <w:r>
              <w:rPr>
                <w:rFonts w:ascii="宋体" w:hAnsi="宋体" w:eastAsia="宋体"/>
                <w:sz w:val="16"/>
              </w:rPr>
              <w:t>18</w:t>
            </w:r>
          </w:p>
        </w:tc>
      </w:tr>
      <w:tr w14:paraId="7C426B9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C1865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A95B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6C0B6F">
            <w:pPr>
              <w:jc w:val="center"/>
            </w:pPr>
            <w:r>
              <w:rPr>
                <w:rFonts w:ascii="宋体" w:hAnsi="宋体" w:eastAsia="宋体"/>
                <w:sz w:val="16"/>
              </w:rPr>
              <w:t>支持和督促政法各部门依法行使职权覆盖率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2656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5952A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15C8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738F2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8299B">
            <w:pPr>
              <w:jc w:val="center"/>
            </w:pPr>
            <w:r>
              <w:rPr>
                <w:rFonts w:ascii="宋体" w:hAnsi="宋体" w:eastAsia="宋体"/>
                <w:sz w:val="16"/>
              </w:rPr>
              <w:t>18</w:t>
            </w:r>
          </w:p>
        </w:tc>
      </w:tr>
      <w:tr w14:paraId="1FE8C48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D1817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7EC28">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42A428">
            <w:pPr>
              <w:jc w:val="center"/>
            </w:pPr>
            <w:r>
              <w:rPr>
                <w:rFonts w:ascii="宋体" w:hAnsi="宋体" w:eastAsia="宋体"/>
                <w:sz w:val="16"/>
              </w:rPr>
              <w:t>组织推动政法部门开展政法工作的调查研究及时率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CCC2C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1FB30">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C0CC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1D260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DB1B23">
            <w:pPr>
              <w:jc w:val="center"/>
            </w:pPr>
            <w:r>
              <w:rPr>
                <w:rFonts w:ascii="宋体" w:hAnsi="宋体" w:eastAsia="宋体"/>
                <w:sz w:val="16"/>
              </w:rPr>
              <w:t>18</w:t>
            </w:r>
          </w:p>
        </w:tc>
      </w:tr>
    </w:tbl>
    <w:p w14:paraId="013F2956">
      <w:r>
        <w:br w:type="page"/>
      </w:r>
    </w:p>
    <w:p w14:paraId="69A4291C">
      <w:pPr>
        <w:spacing w:line="640" w:lineRule="exact"/>
        <w:ind w:firstLine="640"/>
        <w:jc w:val="both"/>
        <w:outlineLvl w:val="2"/>
      </w:pPr>
      <w:r>
        <w:rPr>
          <w:rFonts w:ascii="黑体" w:hAnsi="黑体" w:eastAsia="黑体"/>
          <w:sz w:val="32"/>
        </w:rPr>
        <w:t>十二、其他需说明的事项</w:t>
      </w:r>
    </w:p>
    <w:p w14:paraId="6CF488B3">
      <w:pPr>
        <w:spacing w:line="580" w:lineRule="exact"/>
        <w:ind w:firstLine="640"/>
        <w:jc w:val="both"/>
      </w:pPr>
      <w:r>
        <w:rPr>
          <w:rFonts w:ascii="仿宋_GB2312" w:hAnsi="仿宋_GB2312" w:eastAsia="仿宋_GB2312"/>
          <w:b w:val="0"/>
          <w:sz w:val="32"/>
        </w:rPr>
        <w:t>本年本单位SM项目24个，全年预算数11</w:t>
      </w:r>
      <w:r>
        <w:rPr>
          <w:rFonts w:hint="eastAsia" w:ascii="仿宋_GB2312" w:hAnsi="仿宋_GB2312" w:eastAsia="仿宋_GB2312"/>
          <w:b w:val="0"/>
          <w:sz w:val="32"/>
          <w:lang w:val="en-US" w:eastAsia="zh-CN"/>
        </w:rPr>
        <w:t>,</w:t>
      </w:r>
      <w:r>
        <w:rPr>
          <w:rFonts w:ascii="仿宋_GB2312" w:hAnsi="仿宋_GB2312" w:eastAsia="仿宋_GB2312"/>
          <w:b w:val="0"/>
          <w:sz w:val="32"/>
        </w:rPr>
        <w:t>258.07万元，全年执行数11</w:t>
      </w:r>
      <w:r>
        <w:rPr>
          <w:rFonts w:hint="eastAsia" w:ascii="仿宋_GB2312" w:hAnsi="仿宋_GB2312" w:eastAsia="仿宋_GB2312"/>
          <w:b w:val="0"/>
          <w:sz w:val="32"/>
          <w:lang w:val="en-US" w:eastAsia="zh-CN"/>
        </w:rPr>
        <w:t>,</w:t>
      </w:r>
      <w:r>
        <w:rPr>
          <w:rFonts w:ascii="仿宋_GB2312" w:hAnsi="仿宋_GB2312" w:eastAsia="仿宋_GB2312"/>
          <w:b w:val="0"/>
          <w:sz w:val="32"/>
        </w:rPr>
        <w:t>258.07万元。</w:t>
      </w:r>
    </w:p>
    <w:p w14:paraId="608B3237">
      <w:r>
        <w:br w:type="page"/>
      </w:r>
    </w:p>
    <w:p w14:paraId="37C7AF54">
      <w:pPr>
        <w:spacing w:line="240" w:lineRule="auto"/>
        <w:jc w:val="center"/>
        <w:outlineLvl w:val="1"/>
      </w:pPr>
      <w:r>
        <w:rPr>
          <w:rFonts w:ascii="黑体" w:hAnsi="黑体" w:eastAsia="黑体"/>
          <w:sz w:val="32"/>
        </w:rPr>
        <w:t>第三部分 专业名词解释</w:t>
      </w:r>
    </w:p>
    <w:p w14:paraId="6D28788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24DDCF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4FB052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F45968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B7774A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7F05D2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5177BF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4C59D6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8D04CB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E14EDE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2F982D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8042EF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76719F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D4D792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4A5D72E">
      <w:r>
        <w:br w:type="page"/>
      </w:r>
    </w:p>
    <w:p w14:paraId="303FED41">
      <w:pPr>
        <w:spacing w:line="240" w:lineRule="auto"/>
        <w:jc w:val="center"/>
        <w:outlineLvl w:val="1"/>
      </w:pPr>
      <w:r>
        <w:rPr>
          <w:rFonts w:ascii="黑体" w:hAnsi="黑体" w:eastAsia="黑体"/>
          <w:sz w:val="32"/>
        </w:rPr>
        <w:t>第四部分 部门决算报表（见附表）</w:t>
      </w:r>
    </w:p>
    <w:p w14:paraId="2119A6E4">
      <w:pPr>
        <w:spacing w:line="240" w:lineRule="auto"/>
        <w:ind w:firstLine="640"/>
        <w:jc w:val="both"/>
      </w:pPr>
      <w:r>
        <w:rPr>
          <w:rFonts w:ascii="仿宋_GB2312" w:hAnsi="仿宋_GB2312" w:eastAsia="仿宋_GB2312"/>
          <w:b w:val="0"/>
          <w:sz w:val="32"/>
        </w:rPr>
        <w:t>一、《收入支出决算总表》</w:t>
      </w:r>
    </w:p>
    <w:p w14:paraId="572DB1B3">
      <w:pPr>
        <w:spacing w:line="240" w:lineRule="auto"/>
        <w:ind w:firstLine="640"/>
        <w:jc w:val="both"/>
      </w:pPr>
      <w:r>
        <w:rPr>
          <w:rFonts w:ascii="仿宋_GB2312" w:hAnsi="仿宋_GB2312" w:eastAsia="仿宋_GB2312"/>
          <w:b w:val="0"/>
          <w:sz w:val="32"/>
        </w:rPr>
        <w:t>二、《收入决算表》</w:t>
      </w:r>
    </w:p>
    <w:p w14:paraId="1AFA0CFA">
      <w:pPr>
        <w:spacing w:line="240" w:lineRule="auto"/>
        <w:ind w:firstLine="640"/>
        <w:jc w:val="both"/>
      </w:pPr>
      <w:r>
        <w:rPr>
          <w:rFonts w:ascii="仿宋_GB2312" w:hAnsi="仿宋_GB2312" w:eastAsia="仿宋_GB2312"/>
          <w:b w:val="0"/>
          <w:sz w:val="32"/>
        </w:rPr>
        <w:t>三、《支出决算表》</w:t>
      </w:r>
    </w:p>
    <w:p w14:paraId="71C72E5A">
      <w:pPr>
        <w:spacing w:line="240" w:lineRule="auto"/>
        <w:ind w:firstLine="640"/>
        <w:jc w:val="both"/>
      </w:pPr>
      <w:r>
        <w:rPr>
          <w:rFonts w:ascii="仿宋_GB2312" w:hAnsi="仿宋_GB2312" w:eastAsia="仿宋_GB2312"/>
          <w:b w:val="0"/>
          <w:sz w:val="32"/>
        </w:rPr>
        <w:t>四、《财政拨款收入支出决算总表》</w:t>
      </w:r>
    </w:p>
    <w:p w14:paraId="361AA86E">
      <w:pPr>
        <w:spacing w:line="240" w:lineRule="auto"/>
        <w:ind w:firstLine="640"/>
        <w:jc w:val="both"/>
      </w:pPr>
      <w:r>
        <w:rPr>
          <w:rFonts w:ascii="仿宋_GB2312" w:hAnsi="仿宋_GB2312" w:eastAsia="仿宋_GB2312"/>
          <w:b w:val="0"/>
          <w:sz w:val="32"/>
        </w:rPr>
        <w:t>五、《一般公共预算财政拨款支出决算表》</w:t>
      </w:r>
    </w:p>
    <w:p w14:paraId="70D87F69">
      <w:pPr>
        <w:spacing w:line="240" w:lineRule="auto"/>
        <w:ind w:firstLine="640"/>
        <w:jc w:val="both"/>
      </w:pPr>
      <w:r>
        <w:rPr>
          <w:rFonts w:ascii="仿宋_GB2312" w:hAnsi="仿宋_GB2312" w:eastAsia="仿宋_GB2312"/>
          <w:b w:val="0"/>
          <w:sz w:val="32"/>
        </w:rPr>
        <w:t>六、《一般公共预算财政拨款基本支出决算表》</w:t>
      </w:r>
    </w:p>
    <w:p w14:paraId="423B7330">
      <w:pPr>
        <w:spacing w:line="240" w:lineRule="auto"/>
        <w:ind w:firstLine="640"/>
        <w:jc w:val="both"/>
      </w:pPr>
      <w:r>
        <w:rPr>
          <w:rFonts w:ascii="仿宋_GB2312" w:hAnsi="仿宋_GB2312" w:eastAsia="仿宋_GB2312"/>
          <w:b w:val="0"/>
          <w:sz w:val="32"/>
        </w:rPr>
        <w:t>七、《政府性基金预算财政拨款收入支出决算表》</w:t>
      </w:r>
    </w:p>
    <w:p w14:paraId="12B45582">
      <w:pPr>
        <w:spacing w:line="240" w:lineRule="auto"/>
        <w:ind w:firstLine="640"/>
        <w:jc w:val="both"/>
      </w:pPr>
      <w:r>
        <w:rPr>
          <w:rFonts w:ascii="仿宋_GB2312" w:hAnsi="仿宋_GB2312" w:eastAsia="仿宋_GB2312"/>
          <w:b w:val="0"/>
          <w:sz w:val="32"/>
        </w:rPr>
        <w:t>八、《国有资本经营预算财政拨款收入支出决算表》</w:t>
      </w:r>
    </w:p>
    <w:p w14:paraId="3D37BE33">
      <w:pPr>
        <w:spacing w:line="240" w:lineRule="auto"/>
        <w:ind w:firstLine="640"/>
        <w:jc w:val="both"/>
      </w:pPr>
      <w:r>
        <w:rPr>
          <w:rFonts w:ascii="仿宋_GB2312" w:hAnsi="仿宋_GB2312" w:eastAsia="仿宋_GB2312"/>
          <w:b w:val="0"/>
          <w:sz w:val="32"/>
        </w:rPr>
        <w:t>九、《财政拨款“三公”经费支出决算表》</w:t>
      </w:r>
    </w:p>
    <w:p w14:paraId="67116BEE">
      <w:pPr>
        <w:spacing w:line="240" w:lineRule="auto"/>
        <w:ind w:firstLine="640"/>
        <w:jc w:val="both"/>
      </w:pPr>
    </w:p>
    <w:p w14:paraId="333D6290">
      <w:pPr>
        <w:spacing w:line="240" w:lineRule="auto"/>
        <w:ind w:firstLine="640"/>
        <w:jc w:val="both"/>
      </w:pPr>
    </w:p>
    <w:p w14:paraId="685B4589">
      <w:pPr>
        <w:spacing w:line="240" w:lineRule="auto"/>
        <w:ind w:firstLine="640"/>
        <w:jc w:val="both"/>
      </w:pPr>
    </w:p>
    <w:p w14:paraId="6E029B12">
      <w:pPr>
        <w:spacing w:line="240" w:lineRule="auto"/>
        <w:ind w:firstLine="640"/>
        <w:jc w:val="both"/>
      </w:pPr>
    </w:p>
    <w:p w14:paraId="72A230F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D03026"/>
    <w:rsid w:val="021B7195"/>
    <w:rsid w:val="02F73D26"/>
    <w:rsid w:val="034D4FEF"/>
    <w:rsid w:val="043E5B56"/>
    <w:rsid w:val="06792773"/>
    <w:rsid w:val="09A729D8"/>
    <w:rsid w:val="0A3C58E8"/>
    <w:rsid w:val="0A7B4867"/>
    <w:rsid w:val="0B6D6066"/>
    <w:rsid w:val="0B8C3ECC"/>
    <w:rsid w:val="0C3613A3"/>
    <w:rsid w:val="0C7227A7"/>
    <w:rsid w:val="0DCA6EF7"/>
    <w:rsid w:val="0E4B1576"/>
    <w:rsid w:val="0EA04331"/>
    <w:rsid w:val="0F9811B3"/>
    <w:rsid w:val="115B583E"/>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C50F8A"/>
    <w:rsid w:val="3CD54519"/>
    <w:rsid w:val="3D5275AC"/>
    <w:rsid w:val="3EA7725F"/>
    <w:rsid w:val="3EC014A1"/>
    <w:rsid w:val="40834692"/>
    <w:rsid w:val="423A32B2"/>
    <w:rsid w:val="423C0CB4"/>
    <w:rsid w:val="427B5743"/>
    <w:rsid w:val="42E64542"/>
    <w:rsid w:val="464B7E04"/>
    <w:rsid w:val="464F7E64"/>
    <w:rsid w:val="46901EEE"/>
    <w:rsid w:val="469C74D2"/>
    <w:rsid w:val="47445515"/>
    <w:rsid w:val="478A7058"/>
    <w:rsid w:val="4B4C0111"/>
    <w:rsid w:val="4BB23021"/>
    <w:rsid w:val="4F3F074E"/>
    <w:rsid w:val="50DB5F45"/>
    <w:rsid w:val="52F92565"/>
    <w:rsid w:val="54273E81"/>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5532</Words>
  <Characters>6466</Characters>
  <Lines>0</Lines>
  <Paragraphs>0</Paragraphs>
  <TotalTime>5</TotalTime>
  <ScaleCrop>false</ScaleCrop>
  <LinksUpToDate>false</LinksUpToDate>
  <CharactersWithSpaces>6474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2025-09-08T09:56:46Z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eyJoZGlkIjoiZTliZGUwNWM5NjQxODUyZjhjYWVlMWZjZWZmNTI5MzgiLCJ1c2VySWQiOiI0MzE2NzY3NzkifQ==</vt:lpwstr>
  </property>
</Properties>
</file>