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阿图什市哈拉峻乡中心幼儿园2024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阿图什市哈拉峻乡中心幼儿园2024年度，实有人数63人，其中：在职人员63人，增加4人；离休人员0人，增加0人；退休人员0人,增加0人。</w:t>
      </w:r>
    </w:p>
    <w:p>
      <w:pPr>
        <w:spacing w:line="580" w:lineRule="exact"/>
        <w:ind w:firstLine="640"/>
        <w:jc w:val="both"/>
      </w:pPr>
      <w:r>
        <w:rPr>
          <w:rFonts w:ascii="仿宋_GB2312" w:hAnsi="仿宋_GB2312" w:eastAsia="仿宋_GB2312"/>
          <w:sz w:val="32"/>
        </w:rPr>
        <w:t>阿图什市哈拉峻乡中心幼儿园无下属预算单位，下设5个科室，分别是：办公室、党建室、保育室、医务室、财务室。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2024年度收入总计1,130.15万元，</w:t>
      </w:r>
      <w:r>
        <w:rPr>
          <w:rFonts w:ascii="仿宋_GB2312" w:hAnsi="仿宋_GB2312" w:eastAsia="仿宋_GB2312"/>
          <w:b w:val="0"/>
          <w:sz w:val="32"/>
        </w:rPr>
        <w:t>其中：本年收入合计1,121.94万元，使用非财政拨款结余（含专用结余）0.00万元，年初结转和结余8.21万元。</w:t>
      </w:r>
    </w:p>
    <w:p>
      <w:pPr>
        <w:spacing w:line="580" w:lineRule="exact"/>
        <w:ind w:firstLine="640"/>
        <w:jc w:val="both"/>
      </w:pPr>
      <w:r>
        <w:rPr>
          <w:rFonts w:ascii="仿宋_GB2312" w:hAnsi="仿宋_GB2312" w:eastAsia="仿宋_GB2312"/>
          <w:b/>
          <w:sz w:val="32"/>
        </w:rPr>
        <w:t>2024年度支出总计1,130.15万元，</w:t>
      </w:r>
      <w:r>
        <w:rPr>
          <w:rFonts w:ascii="仿宋_GB2312" w:hAnsi="仿宋_GB2312" w:eastAsia="仿宋_GB2312"/>
          <w:b w:val="0"/>
          <w:sz w:val="32"/>
        </w:rPr>
        <w:t>其中：本年支出合计1,125.96万元，结余分配0.00万元，年末结转和结余4.18万元。</w:t>
      </w:r>
    </w:p>
    <w:p>
      <w:pPr>
        <w:spacing w:line="580" w:lineRule="exact"/>
        <w:ind w:firstLine="640"/>
        <w:jc w:val="both"/>
      </w:pPr>
      <w:r>
        <w:rPr>
          <w:rFonts w:ascii="仿宋_GB2312" w:hAnsi="仿宋_GB2312" w:eastAsia="仿宋_GB2312"/>
          <w:b w:val="0"/>
          <w:sz w:val="32"/>
        </w:rPr>
        <w:t>收入支出总体与上年相比，减少22.57万元，下降1.96%，主要原因是：本年度幼儿人数减少，幼儿伙食补助经费减少。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本年收入1,121.94万元，</w:t>
      </w:r>
      <w:r>
        <w:rPr>
          <w:rFonts w:ascii="仿宋_GB2312" w:hAnsi="仿宋_GB2312" w:eastAsia="仿宋_GB2312"/>
          <w:b w:val="0"/>
          <w:sz w:val="32"/>
        </w:rPr>
        <w:t>其中：财政拨款收入1,115.88万元，占99.46%；上级补助收入0.00万元，占0.00%；事业收入0.00万元，占0.00%；经营收入0.00万元，占0.00%；附属单位上缴收入0.00万元，占0.00%；其他收入6.06万元，占0.54%。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本年支出1,125.96万元，</w:t>
      </w:r>
      <w:r>
        <w:rPr>
          <w:rFonts w:ascii="仿宋_GB2312" w:hAnsi="仿宋_GB2312" w:eastAsia="仿宋_GB2312"/>
          <w:b w:val="0"/>
          <w:sz w:val="32"/>
        </w:rPr>
        <w:t>其中：基本支出901.57万元，占80.07%；项目支出224.39万元，占19.93%；上缴上级支出0.00万元，占0.00%；经营支出0.00万元，占0.00%；对附属单位补助支出0.00万元，占0.00%。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2024年度财政拨款收入总计1,115.88万元，</w:t>
      </w:r>
      <w:r>
        <w:rPr>
          <w:rFonts w:ascii="仿宋_GB2312" w:hAnsi="仿宋_GB2312" w:eastAsia="仿宋_GB2312"/>
          <w:b w:val="0"/>
          <w:sz w:val="32"/>
        </w:rPr>
        <w:t>其中：年初财政拨款结转和结余0.00万元，本年财政拨款收入1,115.88万元。</w:t>
      </w:r>
      <w:r>
        <w:rPr>
          <w:rFonts w:ascii="仿宋_GB2312" w:hAnsi="仿宋_GB2312" w:eastAsia="仿宋_GB2312"/>
          <w:b/>
          <w:sz w:val="32"/>
        </w:rPr>
        <w:t>财政拨款支出总计1,115.88万元，</w:t>
      </w:r>
      <w:r>
        <w:rPr>
          <w:rFonts w:ascii="仿宋_GB2312" w:hAnsi="仿宋_GB2312" w:eastAsia="仿宋_GB2312"/>
          <w:b w:val="0"/>
          <w:sz w:val="32"/>
        </w:rPr>
        <w:t>其中：年末财政拨款结转和结余0.00万元，本年财政拨款支出1,115.88万元。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减少21.93万元，下降1.93%，主要原因是：本年度幼儿人数减少，幼儿伙食补助经费减少。</w:t>
      </w:r>
      <w:r>
        <w:rPr>
          <w:rFonts w:ascii="仿宋_GB2312" w:hAnsi="仿宋_GB2312" w:eastAsia="仿宋_GB2312"/>
          <w:b/>
          <w:sz w:val="32"/>
        </w:rPr>
        <w:t>与年初预算相比，</w:t>
      </w:r>
      <w:r>
        <w:rPr>
          <w:rFonts w:ascii="仿宋_GB2312" w:hAnsi="仿宋_GB2312" w:eastAsia="仿宋_GB2312"/>
          <w:b w:val="0"/>
          <w:sz w:val="32"/>
        </w:rPr>
        <w:t>年初预算数1,023.00万元，决算数1,115.88万元，预决算差异率9.08%，主要原因是：本年在职人员增加，年中追加人员经费及人员工资、社保、公积金基数调增部分资金，导致预决算存在差异。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2024年度一般公共预算财政拨款支出1,115.88万元，</w:t>
      </w:r>
      <w:r>
        <w:rPr>
          <w:rFonts w:ascii="仿宋_GB2312" w:hAnsi="仿宋_GB2312" w:eastAsia="仿宋_GB2312"/>
          <w:b w:val="0"/>
          <w:sz w:val="32"/>
        </w:rPr>
        <w:t>占本年支出合计的99.10%。</w:t>
      </w:r>
      <w:r>
        <w:rPr>
          <w:rFonts w:ascii="仿宋_GB2312" w:hAnsi="仿宋_GB2312" w:eastAsia="仿宋_GB2312"/>
          <w:b/>
          <w:sz w:val="32"/>
        </w:rPr>
        <w:t>与上年相比，</w:t>
      </w:r>
      <w:r>
        <w:rPr>
          <w:rFonts w:ascii="仿宋_GB2312" w:hAnsi="仿宋_GB2312" w:eastAsia="仿宋_GB2312"/>
          <w:b w:val="0"/>
          <w:sz w:val="32"/>
        </w:rPr>
        <w:t>减少21.93万元，下降1.93%，主要原因是：本年度幼儿人数减少，幼儿伙食补助经费减少。</w:t>
      </w:r>
      <w:r>
        <w:rPr>
          <w:rFonts w:ascii="仿宋_GB2312" w:hAnsi="仿宋_GB2312" w:eastAsia="仿宋_GB2312"/>
          <w:b/>
          <w:sz w:val="32"/>
        </w:rPr>
        <w:t>与年初预算相比,</w:t>
      </w:r>
      <w:r>
        <w:rPr>
          <w:rFonts w:ascii="仿宋_GB2312" w:hAnsi="仿宋_GB2312" w:eastAsia="仿宋_GB2312"/>
          <w:b w:val="0"/>
          <w:sz w:val="32"/>
        </w:rPr>
        <w:t>年初预算数1,023.00万元，决算数1,115.88万元，预决算差异率9.08%，主要原因是：本年在职人员增加，年中追加人员经费及人员工资、社保、公积金基数调增部分资金，导致预决算存在差异。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1.教育支出(类)1,115.88万元,占100.00%。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1.教育支出(类)普通教育(款)学前教育(项):支出决算数为1,098.40万元，比上年决算增加104.08万元，增长10.47%,主要原因是：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科目调整，职工养老保险缴费，住房公积金上年单独列支，本年调整至学前教育科目</w:t>
      </w:r>
      <w:r>
        <w:rPr>
          <w:rFonts w:hint="eastAsia" w:ascii="仿宋_GB2312" w:hAnsi="仿宋_GB2312" w:eastAsia="仿宋_GB2312"/>
          <w:b w:val="0"/>
          <w:sz w:val="32"/>
          <w:lang w:val="en-US" w:eastAsia="zh-CN"/>
        </w:rPr>
        <w:t>列支，导致经费增加</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2.教育支出(类)教育费附加安排的支出(款)其他教育费附加安排的支出(项):支出决算数为17.47万元，比上年决算增加4.40万元，增长33.66%,主要原因是：本年取暖费较上年增加。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72.13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住房保障支出(类)住房改革支出(款)住房公积金(项):支出决算数为0.00万元，比上年决算减少58.29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2024年度一般公共预算财政拨款基本支出901.57万元，其中：</w:t>
      </w:r>
      <w:r>
        <w:rPr>
          <w:rFonts w:ascii="仿宋_GB2312" w:hAnsi="仿宋_GB2312" w:eastAsia="仿宋_GB2312"/>
          <w:b/>
          <w:sz w:val="32"/>
        </w:rPr>
        <w:t>人员经费901.57万元，</w:t>
      </w:r>
      <w:r>
        <w:rPr>
          <w:rFonts w:ascii="仿宋_GB2312" w:hAnsi="仿宋_GB2312" w:eastAsia="仿宋_GB2312"/>
          <w:b w:val="0"/>
          <w:sz w:val="32"/>
        </w:rPr>
        <w:t>包括：基本工资、津贴补贴、奖金、机关事业单位基本养老保险缴费、职工基本医疗保险缴费、其他社会保障缴费、住房公积金。</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2024年度阿图什市哈拉峻乡中心幼儿园（事业单位）公用经费支出0.00万元，比上年减少19.77万元，下降100.00%，主要原因是：本单位2024年无公用经费支出。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2024年度政府采购支出总额37.29万元，其中：政府采购货物支出24.77万元、政府采购工程支出0.12万元、政府采购服务支出12.41万元。</w:t>
      </w:r>
    </w:p>
    <w:p>
      <w:pPr>
        <w:spacing w:line="580" w:lineRule="exact"/>
        <w:ind w:firstLine="640"/>
        <w:jc w:val="both"/>
      </w:pPr>
      <w:r>
        <w:rPr>
          <w:rFonts w:ascii="仿宋_GB2312" w:hAnsi="仿宋_GB2312" w:eastAsia="仿宋_GB2312"/>
          <w:b w:val="0"/>
          <w:sz w:val="32"/>
        </w:rPr>
        <w:t>授予中小企业合同金额35.24万元，占政府采购支出总额的94.50%，其中：授予小微企业合同金额33.25万元，占政府采购支出总额的89.17%。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2,826.55平方米，价值649.46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1,130.14万元，实际执行总额1,125.96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阿图什市哈拉峻乡中心幼儿园</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933.14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1,130.14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1,125.96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9.96</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196.83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196.83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933.14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933.31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929.13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始终把握“为学生的终身发展”的教育理念，紧紧围绕“培养什么人，怎样培养人，为谁培养人”的这一根本任务，办好人民满意的教育，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机构设置及人员配置：无下属预算单位，下设6个科室，编制数53，实有人数63人，在职63人。 </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w:t>
            </w:r>
            <w:bookmarkStart w:id="0" w:name="_GoBack"/>
            <w:bookmarkEnd w:id="0"/>
            <w:r>
              <w:rPr>
                <w:rFonts w:ascii="宋体" w:hAnsi="宋体" w:eastAsia="宋体"/>
                <w:sz w:val="16"/>
              </w:rPr>
              <w:br w:type="textWrapping"/>
            </w:r>
            <w:r>
              <w:rPr>
                <w:rFonts w:ascii="宋体" w:hAnsi="宋体" w:eastAsia="宋体"/>
                <w:sz w:val="16"/>
              </w:rPr>
              <w:t>保障单位在职63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1125.96万元，用于保障部门在职63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安全知识讲座10场，教师培训人数30人，保障单位正常运转期限12个月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学前教育巩固率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13254A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5468D3"/>
    <w:rsid w:val="0F9811B3"/>
    <w:rsid w:val="11E15093"/>
    <w:rsid w:val="120E0809"/>
    <w:rsid w:val="19071D6C"/>
    <w:rsid w:val="19B5554D"/>
    <w:rsid w:val="1B8F2D19"/>
    <w:rsid w:val="1C317E4F"/>
    <w:rsid w:val="1C472464"/>
    <w:rsid w:val="1DAF458D"/>
    <w:rsid w:val="1E086ACE"/>
    <w:rsid w:val="1E4B5CA5"/>
    <w:rsid w:val="1EAA4A5F"/>
    <w:rsid w:val="1F587A0B"/>
    <w:rsid w:val="2064678E"/>
    <w:rsid w:val="20656F03"/>
    <w:rsid w:val="20BC0B75"/>
    <w:rsid w:val="20DD6197"/>
    <w:rsid w:val="21F317F2"/>
    <w:rsid w:val="2241392C"/>
    <w:rsid w:val="23BC04D2"/>
    <w:rsid w:val="25275618"/>
    <w:rsid w:val="27CE017C"/>
    <w:rsid w:val="27CF2642"/>
    <w:rsid w:val="282459E2"/>
    <w:rsid w:val="29116777"/>
    <w:rsid w:val="2A053397"/>
    <w:rsid w:val="2A444FB1"/>
    <w:rsid w:val="2A6064E2"/>
    <w:rsid w:val="2BBC7AC5"/>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2B72B1"/>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3752</Words>
  <Characters>4374</Characters>
  <Lines>0</Lines>
  <Paragraphs>0</Paragraphs>
  <TotalTime>7</TotalTime>
  <ScaleCrop>false</ScaleCrop>
  <LinksUpToDate>false</LinksUpToDate>
  <CharactersWithSpaces>4382</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2025-09-19T08:58:31Z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