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阿图什市人民政府国有资产监督管理委员会2024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0B0CD69">
      <w:r>
        <w:br w:type="page"/>
      </w:r>
    </w:p>
    <w:p w14:paraId="1B0106D8">
      <w:pPr>
        <w:spacing w:line="640" w:lineRule="exact"/>
        <w:jc w:val="center"/>
        <w:outlineLvl w:val="1"/>
      </w:pPr>
      <w:r>
        <w:rPr>
          <w:rFonts w:ascii="黑体" w:hAnsi="黑体" w:eastAsia="黑体"/>
          <w:sz w:val="32"/>
        </w:rPr>
        <w:t>第一部分 单位概况</w:t>
      </w:r>
    </w:p>
    <w:p w14:paraId="05DD5268">
      <w:pPr>
        <w:spacing w:line="640" w:lineRule="exact"/>
        <w:ind w:firstLine="640"/>
        <w:jc w:val="both"/>
        <w:outlineLvl w:val="2"/>
      </w:pPr>
      <w:r>
        <w:rPr>
          <w:rFonts w:ascii="黑体" w:hAnsi="黑体" w:eastAsia="黑体"/>
          <w:sz w:val="32"/>
        </w:rPr>
        <w:t>一、主要职能</w:t>
      </w:r>
    </w:p>
    <w:p w14:paraId="00BF31FC">
      <w:pPr>
        <w:spacing w:line="580" w:lineRule="exact"/>
        <w:ind w:firstLine="640"/>
        <w:jc w:val="both"/>
      </w:pPr>
      <w:r>
        <w:rPr>
          <w:rFonts w:ascii="仿宋_GB2312" w:hAnsi="仿宋_GB2312" w:eastAsia="仿宋_GB2312"/>
          <w:sz w:val="32"/>
        </w:rPr>
        <w:t>全面推进国有企业改革与发展，不断促进</w:t>
      </w:r>
      <w:r>
        <w:rPr>
          <w:rFonts w:hint="eastAsia" w:ascii="仿宋_GB2312" w:hAnsi="仿宋_GB2312" w:eastAsia="仿宋_GB2312"/>
          <w:sz w:val="32"/>
          <w:lang w:eastAsia="zh-CN"/>
        </w:rPr>
        <w:t>国有经济布局优化和结构调整，</w:t>
      </w:r>
      <w:r>
        <w:rPr>
          <w:rFonts w:ascii="仿宋_GB2312" w:hAnsi="仿宋_GB2312" w:eastAsia="仿宋_GB2312"/>
          <w:sz w:val="32"/>
        </w:rPr>
        <w:t>提升国有企业的核心竞争力和</w:t>
      </w:r>
      <w:r>
        <w:rPr>
          <w:rFonts w:hint="eastAsia" w:ascii="仿宋_GB2312" w:hAnsi="仿宋_GB2312" w:eastAsia="仿宋_GB2312"/>
          <w:sz w:val="32"/>
          <w:lang w:eastAsia="zh-CN"/>
        </w:rPr>
        <w:t>可持续</w:t>
      </w:r>
      <w:r>
        <w:rPr>
          <w:rFonts w:ascii="仿宋_GB2312" w:hAnsi="仿宋_GB2312" w:eastAsia="仿宋_GB2312"/>
          <w:sz w:val="32"/>
        </w:rPr>
        <w:t>发展</w:t>
      </w:r>
      <w:r>
        <w:rPr>
          <w:rFonts w:hint="eastAsia" w:ascii="仿宋_GB2312" w:hAnsi="仿宋_GB2312" w:eastAsia="仿宋_GB2312"/>
          <w:sz w:val="32"/>
          <w:lang w:eastAsia="zh-CN"/>
        </w:rPr>
        <w:t>能力</w:t>
      </w:r>
      <w:r>
        <w:rPr>
          <w:rFonts w:ascii="仿宋_GB2312" w:hAnsi="仿宋_GB2312" w:eastAsia="仿宋_GB2312"/>
          <w:sz w:val="32"/>
        </w:rPr>
        <w:t>，推动市属国有企业高质量发展，各项工作取得了显著成效。</w:t>
      </w:r>
    </w:p>
    <w:p w14:paraId="3C89B727">
      <w:pPr>
        <w:spacing w:line="580" w:lineRule="exact"/>
        <w:ind w:firstLine="640"/>
        <w:jc w:val="both"/>
      </w:pPr>
      <w:r>
        <w:rPr>
          <w:rFonts w:ascii="仿宋_GB2312" w:hAnsi="仿宋_GB2312" w:eastAsia="仿宋_GB2312"/>
          <w:sz w:val="32"/>
        </w:rPr>
        <w:t>1.持续推进党建工作与生产经营深度融合。</w:t>
      </w:r>
    </w:p>
    <w:p w14:paraId="19353368">
      <w:pPr>
        <w:spacing w:line="580" w:lineRule="exact"/>
        <w:ind w:firstLine="640"/>
        <w:jc w:val="both"/>
      </w:pPr>
      <w:r>
        <w:rPr>
          <w:rFonts w:ascii="仿宋_GB2312" w:hAnsi="仿宋_GB2312" w:eastAsia="仿宋_GB2312"/>
          <w:sz w:val="32"/>
        </w:rPr>
        <w:t>2.认真履行主体责任，加强国资国企党的建设。</w:t>
      </w:r>
    </w:p>
    <w:p w14:paraId="6E2CFE4E">
      <w:pPr>
        <w:spacing w:line="580" w:lineRule="exact"/>
        <w:ind w:firstLine="640"/>
        <w:jc w:val="both"/>
      </w:pPr>
      <w:r>
        <w:rPr>
          <w:rFonts w:ascii="仿宋_GB2312" w:hAnsi="仿宋_GB2312" w:eastAsia="仿宋_GB2312"/>
          <w:sz w:val="32"/>
        </w:rPr>
        <w:t>3.扎实推进党纪学习工作。</w:t>
      </w:r>
    </w:p>
    <w:p w14:paraId="5C43E4FA">
      <w:pPr>
        <w:spacing w:line="580" w:lineRule="exact"/>
        <w:ind w:firstLine="640"/>
        <w:jc w:val="both"/>
      </w:pPr>
      <w:r>
        <w:rPr>
          <w:rFonts w:ascii="仿宋_GB2312" w:hAnsi="仿宋_GB2312" w:eastAsia="仿宋_GB2312"/>
          <w:sz w:val="32"/>
        </w:rPr>
        <w:t>4.人才招聘及培养力度进一步加强。</w:t>
      </w:r>
    </w:p>
    <w:p w14:paraId="54EB757C">
      <w:pPr>
        <w:spacing w:line="640" w:lineRule="exact"/>
        <w:ind w:firstLine="640"/>
        <w:jc w:val="both"/>
        <w:outlineLvl w:val="2"/>
      </w:pPr>
      <w:r>
        <w:rPr>
          <w:rFonts w:ascii="黑体" w:hAnsi="黑体" w:eastAsia="黑体"/>
          <w:sz w:val="32"/>
        </w:rPr>
        <w:t>二、机构设置及人员情况</w:t>
      </w:r>
    </w:p>
    <w:p w14:paraId="7F2B44DF">
      <w:pPr>
        <w:spacing w:line="580" w:lineRule="exact"/>
        <w:ind w:firstLine="640"/>
        <w:jc w:val="both"/>
      </w:pPr>
      <w:r>
        <w:rPr>
          <w:rFonts w:ascii="仿宋_GB2312" w:hAnsi="仿宋_GB2312" w:eastAsia="仿宋_GB2312"/>
          <w:sz w:val="32"/>
        </w:rPr>
        <w:t>阿图什市人民政府国有资产监督管理委员会2024年度，实有人数6人，其中：在职人员6人，增加6人；离休人员0人，增加0人；退休人员0人,增加0人。</w:t>
      </w:r>
    </w:p>
    <w:p w14:paraId="6018A095">
      <w:pPr>
        <w:spacing w:line="580" w:lineRule="exact"/>
        <w:ind w:firstLine="640"/>
        <w:jc w:val="both"/>
      </w:pPr>
      <w:r>
        <w:rPr>
          <w:rFonts w:ascii="仿宋_GB2312" w:hAnsi="仿宋_GB2312" w:eastAsia="仿宋_GB2312"/>
          <w:sz w:val="32"/>
        </w:rPr>
        <w:t>阿图什市人民政府国有资产监督管理委员会无下属预算单位，下设5个科室，分别是：综合办公室、阿图什市国有资产运营中心、综合监督与考核管理室、财务室、改革发展与政策法规管理室。</w:t>
      </w:r>
    </w:p>
    <w:p w14:paraId="5226CD2A">
      <w:r>
        <w:br w:type="page"/>
      </w:r>
    </w:p>
    <w:p w14:paraId="16122A1F">
      <w:pPr>
        <w:spacing w:line="240" w:lineRule="auto"/>
        <w:jc w:val="center"/>
        <w:outlineLvl w:val="1"/>
      </w:pPr>
      <w:r>
        <w:rPr>
          <w:rFonts w:ascii="黑体" w:hAnsi="黑体" w:eastAsia="黑体"/>
          <w:sz w:val="32"/>
        </w:rPr>
        <w:t>第二部分 部门决算情况说明</w:t>
      </w:r>
    </w:p>
    <w:p w14:paraId="47FFCB15">
      <w:pPr>
        <w:spacing w:line="640" w:lineRule="exact"/>
        <w:ind w:firstLine="640"/>
        <w:jc w:val="both"/>
        <w:outlineLvl w:val="2"/>
      </w:pPr>
      <w:r>
        <w:rPr>
          <w:rFonts w:ascii="黑体" w:hAnsi="黑体" w:eastAsia="黑体"/>
          <w:sz w:val="32"/>
        </w:rPr>
        <w:t>一、收入支出决算总体情况说明</w:t>
      </w:r>
    </w:p>
    <w:p w14:paraId="3C6B0AE8">
      <w:pPr>
        <w:spacing w:line="580" w:lineRule="exact"/>
        <w:ind w:firstLine="640"/>
        <w:jc w:val="both"/>
      </w:pPr>
      <w:r>
        <w:rPr>
          <w:rFonts w:ascii="仿宋_GB2312" w:hAnsi="仿宋_GB2312" w:eastAsia="仿宋_GB2312"/>
          <w:b/>
          <w:sz w:val="32"/>
        </w:rPr>
        <w:t>2024年度收入总计8,894.31万元，</w:t>
      </w:r>
      <w:r>
        <w:rPr>
          <w:rFonts w:ascii="仿宋_GB2312" w:hAnsi="仿宋_GB2312" w:eastAsia="仿宋_GB2312"/>
          <w:b w:val="0"/>
          <w:sz w:val="32"/>
        </w:rPr>
        <w:t>其中：本年收入合计8,894.31万元，使用非财政拨款结余（含专用结余）0.00万元，年初结转和结余0.00万元。</w:t>
      </w:r>
    </w:p>
    <w:p w14:paraId="4656FEEB">
      <w:pPr>
        <w:spacing w:line="580" w:lineRule="exact"/>
        <w:ind w:firstLine="640"/>
        <w:jc w:val="both"/>
      </w:pPr>
      <w:r>
        <w:rPr>
          <w:rFonts w:ascii="仿宋_GB2312" w:hAnsi="仿宋_GB2312" w:eastAsia="仿宋_GB2312"/>
          <w:b/>
          <w:sz w:val="32"/>
        </w:rPr>
        <w:t>2024年度支出总计8,894.31万元，</w:t>
      </w:r>
      <w:r>
        <w:rPr>
          <w:rFonts w:ascii="仿宋_GB2312" w:hAnsi="仿宋_GB2312" w:eastAsia="仿宋_GB2312"/>
          <w:b w:val="0"/>
          <w:sz w:val="32"/>
        </w:rPr>
        <w:t>其中：本年支出合计8,894.31万元，结余分配0.00万元，年末结转和结余0.00万元。</w:t>
      </w:r>
    </w:p>
    <w:p w14:paraId="26FBE6FB">
      <w:pPr>
        <w:spacing w:line="580" w:lineRule="exact"/>
        <w:ind w:firstLine="640"/>
        <w:jc w:val="both"/>
      </w:pPr>
      <w:r>
        <w:rPr>
          <w:rFonts w:ascii="仿宋_GB2312" w:hAnsi="仿宋_GB2312" w:eastAsia="仿宋_GB2312"/>
          <w:b w:val="0"/>
          <w:sz w:val="32"/>
        </w:rPr>
        <w:t>收入支出总体与上年相比，增加8,894.31万元，增长100.00%，主要原因是：本年为新增单位，无上年对比数据。</w:t>
      </w:r>
    </w:p>
    <w:p w14:paraId="5C44BBCC">
      <w:pPr>
        <w:spacing w:line="640" w:lineRule="exact"/>
        <w:ind w:firstLine="640"/>
        <w:jc w:val="both"/>
        <w:outlineLvl w:val="2"/>
      </w:pPr>
      <w:r>
        <w:rPr>
          <w:rFonts w:ascii="黑体" w:hAnsi="黑体" w:eastAsia="黑体"/>
          <w:sz w:val="32"/>
        </w:rPr>
        <w:t>二、收入决算情况说明</w:t>
      </w:r>
    </w:p>
    <w:p w14:paraId="634DA765">
      <w:pPr>
        <w:spacing w:line="580" w:lineRule="exact"/>
        <w:ind w:firstLine="640"/>
        <w:jc w:val="both"/>
      </w:pPr>
      <w:r>
        <w:rPr>
          <w:rFonts w:ascii="仿宋_GB2312" w:hAnsi="仿宋_GB2312" w:eastAsia="仿宋_GB2312"/>
          <w:b/>
          <w:sz w:val="32"/>
        </w:rPr>
        <w:t>本年收入8,894.31万元，</w:t>
      </w:r>
      <w:r>
        <w:rPr>
          <w:rFonts w:ascii="仿宋_GB2312" w:hAnsi="仿宋_GB2312" w:eastAsia="仿宋_GB2312"/>
          <w:b w:val="0"/>
          <w:sz w:val="32"/>
        </w:rPr>
        <w:t>其中：财政拨款收入5,114.31万元，占57.50%；上级补助收入0.00万元，占0.00%；事业收入0.00万元，占0.00%；经营收入0.00万元，占0.00%；附属单位上缴收入0.00万元，占0.00%；其他收入3,780.00万元，占42.50%。</w:t>
      </w:r>
    </w:p>
    <w:p w14:paraId="482E464C">
      <w:pPr>
        <w:spacing w:line="640" w:lineRule="exact"/>
        <w:ind w:firstLine="640"/>
        <w:jc w:val="both"/>
        <w:outlineLvl w:val="2"/>
      </w:pPr>
      <w:r>
        <w:rPr>
          <w:rFonts w:ascii="黑体" w:hAnsi="黑体" w:eastAsia="黑体"/>
          <w:sz w:val="32"/>
        </w:rPr>
        <w:t>三、支出决算情况说明</w:t>
      </w:r>
    </w:p>
    <w:p w14:paraId="353C0206">
      <w:pPr>
        <w:spacing w:line="580" w:lineRule="exact"/>
        <w:ind w:firstLine="640"/>
        <w:jc w:val="both"/>
      </w:pPr>
      <w:r>
        <w:rPr>
          <w:rFonts w:ascii="仿宋_GB2312" w:hAnsi="仿宋_GB2312" w:eastAsia="仿宋_GB2312"/>
          <w:b/>
          <w:sz w:val="32"/>
        </w:rPr>
        <w:t>本年支出8,894.31万元，</w:t>
      </w:r>
      <w:r>
        <w:rPr>
          <w:rFonts w:ascii="仿宋_GB2312" w:hAnsi="仿宋_GB2312" w:eastAsia="仿宋_GB2312"/>
          <w:b w:val="0"/>
          <w:sz w:val="32"/>
        </w:rPr>
        <w:t>其中：基本支出22.31万元，占0.25%；项目支出8,872.00万元，占99.75%；上缴上级支出0.00万元，占0.00%；经营支出0.00万元，占0.00%；对附属单位补助支出0.00万元，占0.00%。</w:t>
      </w:r>
    </w:p>
    <w:p w14:paraId="6A705DCD">
      <w:pPr>
        <w:spacing w:line="640" w:lineRule="exact"/>
        <w:ind w:firstLine="640"/>
        <w:jc w:val="both"/>
        <w:outlineLvl w:val="2"/>
      </w:pPr>
      <w:r>
        <w:rPr>
          <w:rFonts w:ascii="黑体" w:hAnsi="黑体" w:eastAsia="黑体"/>
          <w:sz w:val="32"/>
        </w:rPr>
        <w:t>四、财政拨款收入支出决算总体情况说明</w:t>
      </w:r>
    </w:p>
    <w:p w14:paraId="3006C860">
      <w:pPr>
        <w:spacing w:line="580" w:lineRule="exact"/>
        <w:ind w:firstLine="640"/>
        <w:jc w:val="both"/>
      </w:pPr>
      <w:r>
        <w:rPr>
          <w:rFonts w:ascii="仿宋_GB2312" w:hAnsi="仿宋_GB2312" w:eastAsia="仿宋_GB2312"/>
          <w:b/>
          <w:sz w:val="32"/>
        </w:rPr>
        <w:t>2024年度财政拨款收入总计5,114.31万元，</w:t>
      </w:r>
      <w:r>
        <w:rPr>
          <w:rFonts w:ascii="仿宋_GB2312" w:hAnsi="仿宋_GB2312" w:eastAsia="仿宋_GB2312"/>
          <w:b w:val="0"/>
          <w:sz w:val="32"/>
        </w:rPr>
        <w:t>其中：年初财政拨款结转和结余0.00万元，本年财政拨款收入5,114.31万元。</w:t>
      </w:r>
      <w:r>
        <w:rPr>
          <w:rFonts w:ascii="仿宋_GB2312" w:hAnsi="仿宋_GB2312" w:eastAsia="仿宋_GB2312"/>
          <w:b/>
          <w:sz w:val="32"/>
        </w:rPr>
        <w:t>财政拨款支出总计5,114.31万元，</w:t>
      </w:r>
      <w:r>
        <w:rPr>
          <w:rFonts w:ascii="仿宋_GB2312" w:hAnsi="仿宋_GB2312" w:eastAsia="仿宋_GB2312"/>
          <w:b w:val="0"/>
          <w:sz w:val="32"/>
        </w:rPr>
        <w:t>其中：年末财政拨款结转和结余0.00万元，本年财政拨款支出5,114.31万元。</w:t>
      </w:r>
    </w:p>
    <w:p w14:paraId="2EFF101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增加5,114.31万元，增长100.00%，主要原因是：本年为新增单位，无上年对比数据。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年初预算数0.00万元，决算数5,114.31万元，预决算差异率100.00%，主要原因是：本年为新增单位，在职人员增加，年中追加人员工资、社保、公积金基数调增部分资金，</w:t>
      </w:r>
      <w:r>
        <w:rPr>
          <w:rFonts w:hint="eastAsia" w:ascii="仿宋_GB2312" w:hAnsi="仿宋_GB2312" w:eastAsia="仿宋_GB2312"/>
          <w:b w:val="0"/>
          <w:sz w:val="32"/>
          <w:lang w:val="en-US" w:eastAsia="zh-CN"/>
        </w:rPr>
        <w:t>年中追加阿图什市3家企业注册资本金、</w:t>
      </w:r>
      <w:r>
        <w:rPr>
          <w:rFonts w:ascii="仿宋_GB2312" w:hAnsi="仿宋_GB2312" w:eastAsia="仿宋_GB2312"/>
          <w:b w:val="0"/>
          <w:sz w:val="32"/>
        </w:rPr>
        <w:t>导致预决算存在差异。</w:t>
      </w:r>
    </w:p>
    <w:p w14:paraId="01130C01">
      <w:pPr>
        <w:spacing w:line="640" w:lineRule="exact"/>
        <w:ind w:firstLine="640"/>
        <w:jc w:val="both"/>
        <w:outlineLvl w:val="2"/>
      </w:pPr>
      <w:r>
        <w:rPr>
          <w:rFonts w:ascii="黑体" w:hAnsi="黑体" w:eastAsia="黑体"/>
          <w:sz w:val="32"/>
        </w:rPr>
        <w:t>五、一般公共预算财政拨款支出决算情况说明</w:t>
      </w:r>
    </w:p>
    <w:p w14:paraId="002E69A1">
      <w:pPr>
        <w:spacing w:line="640" w:lineRule="exact"/>
        <w:ind w:firstLine="640"/>
        <w:jc w:val="both"/>
        <w:outlineLvl w:val="3"/>
      </w:pPr>
      <w:r>
        <w:rPr>
          <w:rFonts w:ascii="楷体_GB2312" w:hAnsi="楷体_GB2312" w:eastAsia="楷体_GB2312"/>
          <w:b/>
          <w:sz w:val="32"/>
        </w:rPr>
        <w:t>（一）一般公共预算财政拨款支出决算总体情况</w:t>
      </w:r>
    </w:p>
    <w:p w14:paraId="006BF395">
      <w:pPr>
        <w:spacing w:line="580" w:lineRule="exact"/>
        <w:ind w:firstLine="640"/>
        <w:jc w:val="both"/>
      </w:pPr>
      <w:r>
        <w:rPr>
          <w:rFonts w:ascii="仿宋_GB2312" w:hAnsi="仿宋_GB2312" w:eastAsia="仿宋_GB2312"/>
          <w:b/>
          <w:sz w:val="32"/>
        </w:rPr>
        <w:t>2024年度一般公共预算财政拨款支出5,114.31万元，</w:t>
      </w:r>
      <w:r>
        <w:rPr>
          <w:rFonts w:ascii="仿宋_GB2312" w:hAnsi="仿宋_GB2312" w:eastAsia="仿宋_GB2312"/>
          <w:b w:val="0"/>
          <w:sz w:val="32"/>
        </w:rPr>
        <w:t>占本年支出合计的57.50%。</w:t>
      </w:r>
      <w:r>
        <w:rPr>
          <w:rFonts w:ascii="仿宋_GB2312" w:hAnsi="仿宋_GB2312" w:eastAsia="仿宋_GB2312"/>
          <w:b/>
          <w:sz w:val="32"/>
        </w:rPr>
        <w:t>与上年相比，</w:t>
      </w:r>
      <w:r>
        <w:rPr>
          <w:rFonts w:ascii="仿宋_GB2312" w:hAnsi="仿宋_GB2312" w:eastAsia="仿宋_GB2312"/>
          <w:b w:val="0"/>
          <w:sz w:val="32"/>
        </w:rPr>
        <w:t>增加5,114.31万元，增长100.00%，主要原因是：本年为新增单位，无上年对比数据。</w:t>
      </w:r>
      <w:r>
        <w:rPr>
          <w:rFonts w:ascii="仿宋_GB2312" w:hAnsi="仿宋_GB2312" w:eastAsia="仿宋_GB2312"/>
          <w:b/>
          <w:sz w:val="32"/>
        </w:rPr>
        <w:t>与年初预算相比,</w:t>
      </w:r>
      <w:r>
        <w:rPr>
          <w:rFonts w:ascii="仿宋_GB2312" w:hAnsi="仿宋_GB2312" w:eastAsia="仿宋_GB2312"/>
          <w:b w:val="0"/>
          <w:sz w:val="32"/>
        </w:rPr>
        <w:t>年初预算数0.00万元，决算数5,114.31万元，预决算差异率100.00%，主要原因是：本年为新增单位，在职人员增加，年中追加人员工资、社保、公积金基数调增部分资金，</w:t>
      </w:r>
      <w:r>
        <w:rPr>
          <w:rFonts w:hint="eastAsia" w:ascii="仿宋_GB2312" w:hAnsi="仿宋_GB2312" w:eastAsia="仿宋_GB2312"/>
          <w:b w:val="0"/>
          <w:sz w:val="32"/>
          <w:lang w:val="en-US" w:eastAsia="zh-CN"/>
        </w:rPr>
        <w:t>年中追加阿图什市3家企业注册资本金、</w:t>
      </w:r>
      <w:r>
        <w:rPr>
          <w:rFonts w:ascii="仿宋_GB2312" w:hAnsi="仿宋_GB2312" w:eastAsia="仿宋_GB2312"/>
          <w:b w:val="0"/>
          <w:sz w:val="32"/>
        </w:rPr>
        <w:t>导致预决算存在差异。</w:t>
      </w:r>
    </w:p>
    <w:p w14:paraId="1DC0CC51">
      <w:pPr>
        <w:spacing w:line="640" w:lineRule="exact"/>
        <w:ind w:firstLine="640"/>
        <w:jc w:val="both"/>
        <w:outlineLvl w:val="3"/>
      </w:pPr>
      <w:r>
        <w:rPr>
          <w:rFonts w:ascii="楷体_GB2312" w:hAnsi="楷体_GB2312" w:eastAsia="楷体_GB2312"/>
          <w:b/>
          <w:sz w:val="32"/>
        </w:rPr>
        <w:t>（二）一般公共预算财政拨款支出决算结构情况</w:t>
      </w:r>
    </w:p>
    <w:p w14:paraId="7380D438">
      <w:pPr>
        <w:spacing w:line="580" w:lineRule="exact"/>
        <w:ind w:firstLine="640"/>
        <w:jc w:val="both"/>
      </w:pPr>
      <w:r>
        <w:rPr>
          <w:rFonts w:ascii="仿宋_GB2312" w:hAnsi="仿宋_GB2312" w:eastAsia="仿宋_GB2312"/>
          <w:b w:val="0"/>
          <w:sz w:val="32"/>
        </w:rPr>
        <w:t>1.资源勘探工业信息等支出(类)5,114.31万元,占100.00%。</w:t>
      </w:r>
    </w:p>
    <w:p w14:paraId="48DE87B3">
      <w:pPr>
        <w:spacing w:line="640" w:lineRule="exact"/>
        <w:ind w:firstLine="640"/>
        <w:jc w:val="both"/>
        <w:outlineLvl w:val="3"/>
      </w:pPr>
      <w:r>
        <w:rPr>
          <w:rFonts w:ascii="楷体_GB2312" w:hAnsi="楷体_GB2312" w:eastAsia="楷体_GB2312"/>
          <w:b/>
          <w:sz w:val="32"/>
        </w:rPr>
        <w:t>（三）一般公共预算财政拨款支出决算具体情况</w:t>
      </w:r>
    </w:p>
    <w:p w14:paraId="3AADBD87">
      <w:pPr>
        <w:spacing w:line="580" w:lineRule="exact"/>
        <w:ind w:firstLine="640"/>
        <w:jc w:val="both"/>
      </w:pPr>
      <w:r>
        <w:rPr>
          <w:rFonts w:ascii="仿宋_GB2312" w:hAnsi="仿宋_GB2312" w:eastAsia="仿宋_GB2312"/>
          <w:b w:val="0"/>
          <w:sz w:val="32"/>
        </w:rPr>
        <w:t>1.资源勘探工业信息等支出(类)国有资产监管(款)行政运行(项):支出决算数为14.23万元，比上年决算增加14.23万元，增长100.00%,主要原因是：本年为新增单位，无上年对比数据。</w:t>
      </w:r>
    </w:p>
    <w:p w14:paraId="6D6028AD">
      <w:pPr>
        <w:spacing w:line="580" w:lineRule="exact"/>
        <w:ind w:firstLine="640"/>
        <w:jc w:val="both"/>
      </w:pPr>
      <w:r>
        <w:rPr>
          <w:rFonts w:ascii="仿宋_GB2312" w:hAnsi="仿宋_GB2312" w:eastAsia="仿宋_GB2312"/>
          <w:b w:val="0"/>
          <w:sz w:val="32"/>
        </w:rPr>
        <w:t>2.资源勘探工业信息等支出(类)国有资产监管(款)其他国有资产监管支出(项):支出决算数为5,100.08万元，比上年决算增加5,100.08万元，增长100.00%,主要原因是：本年为新增单位，无上年对比数据。</w:t>
      </w:r>
    </w:p>
    <w:p w14:paraId="5E2C2792">
      <w:pPr>
        <w:spacing w:line="640" w:lineRule="exact"/>
        <w:ind w:firstLine="640"/>
        <w:jc w:val="both"/>
        <w:outlineLvl w:val="2"/>
      </w:pPr>
      <w:r>
        <w:rPr>
          <w:rFonts w:ascii="黑体" w:hAnsi="黑体" w:eastAsia="黑体"/>
          <w:sz w:val="32"/>
        </w:rPr>
        <w:t>六、一般公共预算财政拨款基本支出决算情况说明</w:t>
      </w:r>
    </w:p>
    <w:p w14:paraId="02192E8B">
      <w:pPr>
        <w:spacing w:line="580" w:lineRule="exact"/>
        <w:ind w:firstLine="640"/>
        <w:jc w:val="both"/>
      </w:pPr>
      <w:r>
        <w:rPr>
          <w:rFonts w:ascii="仿宋_GB2312" w:hAnsi="仿宋_GB2312" w:eastAsia="仿宋_GB2312"/>
          <w:b w:val="0"/>
          <w:sz w:val="32"/>
        </w:rPr>
        <w:t>2024年度一般公共预算财政拨款基本支出22.31万元，其中：</w:t>
      </w:r>
      <w:r>
        <w:rPr>
          <w:rFonts w:ascii="仿宋_GB2312" w:hAnsi="仿宋_GB2312" w:eastAsia="仿宋_GB2312"/>
          <w:b/>
          <w:sz w:val="32"/>
        </w:rPr>
        <w:t>人员经费18.45万元，</w:t>
      </w:r>
      <w:r>
        <w:rPr>
          <w:rFonts w:ascii="仿宋_GB2312" w:hAnsi="仿宋_GB2312" w:eastAsia="仿宋_GB2312"/>
          <w:b w:val="0"/>
          <w:sz w:val="32"/>
        </w:rPr>
        <w:t>包括：基本工资、津贴补贴、绩效工资、机关事业单位基本养老保险缴费、职工基本医疗保险缴费、其他社会保障缴费、住房公积金。</w:t>
      </w:r>
    </w:p>
    <w:p w14:paraId="767B0DDE">
      <w:pPr>
        <w:spacing w:line="580" w:lineRule="exact"/>
        <w:ind w:firstLine="640"/>
        <w:jc w:val="both"/>
      </w:pPr>
      <w:r>
        <w:rPr>
          <w:rFonts w:ascii="仿宋_GB2312" w:hAnsi="仿宋_GB2312" w:eastAsia="仿宋_GB2312"/>
          <w:b/>
          <w:sz w:val="32"/>
        </w:rPr>
        <w:t>公用经费3.86万元，</w:t>
      </w:r>
      <w:r>
        <w:rPr>
          <w:rFonts w:ascii="仿宋_GB2312" w:hAnsi="仿宋_GB2312" w:eastAsia="仿宋_GB2312"/>
          <w:b w:val="0"/>
          <w:sz w:val="32"/>
        </w:rPr>
        <w:t>包括：办公费、印刷费、邮电费、差旅费、其他商品和服务支出。</w:t>
      </w:r>
    </w:p>
    <w:p w14:paraId="4CEC9B93">
      <w:pPr>
        <w:spacing w:line="640" w:lineRule="exact"/>
        <w:ind w:firstLine="640"/>
        <w:jc w:val="both"/>
        <w:outlineLvl w:val="2"/>
      </w:pPr>
      <w:r>
        <w:rPr>
          <w:rFonts w:ascii="黑体" w:hAnsi="黑体" w:eastAsia="黑体"/>
          <w:sz w:val="32"/>
        </w:rPr>
        <w:t>七、政府性基金预算财政拨款收入支出决算情况说明</w:t>
      </w:r>
    </w:p>
    <w:p w14:paraId="10FF7693">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95076AE">
      <w:pPr>
        <w:spacing w:line="640" w:lineRule="exact"/>
        <w:ind w:firstLine="640"/>
        <w:jc w:val="both"/>
        <w:outlineLvl w:val="2"/>
      </w:pPr>
      <w:r>
        <w:rPr>
          <w:rFonts w:ascii="黑体" w:hAnsi="黑体" w:eastAsia="黑体"/>
          <w:sz w:val="32"/>
        </w:rPr>
        <w:t>八、国有资本经营预算财政拨款收入支出决算情况说明</w:t>
      </w:r>
    </w:p>
    <w:p w14:paraId="2EC54144">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5CA2E7E">
      <w:pPr>
        <w:spacing w:line="640" w:lineRule="exact"/>
        <w:ind w:firstLine="640"/>
        <w:jc w:val="both"/>
        <w:outlineLvl w:val="2"/>
      </w:pPr>
      <w:r>
        <w:rPr>
          <w:rFonts w:ascii="黑体" w:hAnsi="黑体" w:eastAsia="黑体"/>
          <w:sz w:val="32"/>
        </w:rPr>
        <w:t>九、财政拨款“三公”经费支出决算情况说明</w:t>
      </w:r>
    </w:p>
    <w:p w14:paraId="5FFEC559">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5961797F">
      <w:pPr>
        <w:spacing w:line="580" w:lineRule="exact"/>
        <w:ind w:firstLine="640"/>
        <w:jc w:val="both"/>
      </w:pPr>
      <w:r>
        <w:rPr>
          <w:rFonts w:ascii="仿宋_GB2312" w:hAnsi="仿宋_GB2312" w:eastAsia="仿宋_GB2312"/>
          <w:b/>
          <w:sz w:val="32"/>
        </w:rPr>
        <w:t>具体情况如下：</w:t>
      </w:r>
    </w:p>
    <w:p w14:paraId="13F5DC8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0AF3775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7875E32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26E497D1">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4074AB2C">
      <w:pPr>
        <w:spacing w:line="640" w:lineRule="exact"/>
        <w:ind w:firstLine="640"/>
        <w:jc w:val="both"/>
        <w:outlineLvl w:val="2"/>
      </w:pPr>
      <w:r>
        <w:rPr>
          <w:rFonts w:ascii="黑体" w:hAnsi="黑体" w:eastAsia="黑体"/>
          <w:sz w:val="32"/>
        </w:rPr>
        <w:t>十、其他重要事项的情况说明</w:t>
      </w:r>
    </w:p>
    <w:p w14:paraId="0BBC35CC">
      <w:pPr>
        <w:spacing w:line="640" w:lineRule="exact"/>
        <w:ind w:firstLine="640"/>
        <w:jc w:val="both"/>
        <w:outlineLvl w:val="3"/>
      </w:pPr>
      <w:r>
        <w:rPr>
          <w:rFonts w:ascii="楷体_GB2312" w:hAnsi="楷体_GB2312" w:eastAsia="楷体_GB2312"/>
          <w:b/>
          <w:sz w:val="32"/>
        </w:rPr>
        <w:t>（一）机关运行经费及公用经费支出情况</w:t>
      </w:r>
    </w:p>
    <w:p w14:paraId="323B9BB4">
      <w:pPr>
        <w:spacing w:line="580" w:lineRule="exact"/>
        <w:ind w:firstLine="640"/>
        <w:jc w:val="both"/>
      </w:pPr>
      <w:r>
        <w:rPr>
          <w:rFonts w:ascii="仿宋_GB2312" w:hAnsi="仿宋_GB2312" w:eastAsia="仿宋_GB2312"/>
          <w:b w:val="0"/>
          <w:sz w:val="32"/>
        </w:rPr>
        <w:t>2024年度阿图什市人民政府国有资产监督管理委员会（行政单位和参照公务员法管理事业单位）机关运行经费支出3.86万元，比上年增加3.86万元，增长100.00%，主要原因是：本年为新增单位，无上年对比数据。</w:t>
      </w:r>
    </w:p>
    <w:p w14:paraId="41B18379">
      <w:pPr>
        <w:spacing w:line="640" w:lineRule="exact"/>
        <w:ind w:firstLine="640"/>
        <w:jc w:val="both"/>
        <w:outlineLvl w:val="3"/>
      </w:pPr>
      <w:r>
        <w:rPr>
          <w:rFonts w:ascii="楷体_GB2312" w:hAnsi="楷体_GB2312" w:eastAsia="楷体_GB2312"/>
          <w:b/>
          <w:sz w:val="32"/>
        </w:rPr>
        <w:t>（二）政府采购情况</w:t>
      </w:r>
    </w:p>
    <w:p w14:paraId="4C09750D">
      <w:pPr>
        <w:spacing w:line="580" w:lineRule="exact"/>
        <w:ind w:firstLine="640"/>
        <w:jc w:val="both"/>
      </w:pPr>
      <w:r>
        <w:rPr>
          <w:rFonts w:ascii="仿宋_GB2312" w:hAnsi="仿宋_GB2312" w:eastAsia="仿宋_GB2312"/>
          <w:b w:val="0"/>
          <w:sz w:val="32"/>
        </w:rPr>
        <w:t>2024年度政府采购支出总额1.37万元，其中：政府采购货物支出1.05万元、政府采购工程支出0.00万元、政府采购服务支出0.32万元。</w:t>
      </w:r>
    </w:p>
    <w:p w14:paraId="4191D9D0">
      <w:pPr>
        <w:spacing w:line="580" w:lineRule="exact"/>
        <w:ind w:firstLine="640"/>
        <w:jc w:val="both"/>
      </w:pPr>
      <w:r>
        <w:rPr>
          <w:rFonts w:ascii="仿宋_GB2312" w:hAnsi="仿宋_GB2312" w:eastAsia="仿宋_GB2312"/>
          <w:b w:val="0"/>
          <w:sz w:val="32"/>
        </w:rPr>
        <w:t>授予中小企业合同金额1.37万元，占政府采购支出总额的100.00%，其中：授予小微企业合同金额1.27万元，占政府采购支出总额的92.70%。</w:t>
      </w:r>
    </w:p>
    <w:p w14:paraId="5DD8B733">
      <w:pPr>
        <w:spacing w:line="640" w:lineRule="exact"/>
        <w:ind w:firstLine="640"/>
        <w:jc w:val="both"/>
        <w:outlineLvl w:val="3"/>
      </w:pPr>
      <w:r>
        <w:rPr>
          <w:rFonts w:ascii="楷体_GB2312" w:hAnsi="楷体_GB2312" w:eastAsia="楷体_GB2312"/>
          <w:b/>
          <w:sz w:val="32"/>
        </w:rPr>
        <w:t>（三）国有资产占用情况说明</w:t>
      </w:r>
    </w:p>
    <w:p w14:paraId="04FB925F">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33DAF273">
      <w:pPr>
        <w:spacing w:line="640" w:lineRule="exact"/>
        <w:ind w:firstLine="640"/>
        <w:jc w:val="both"/>
        <w:outlineLvl w:val="2"/>
      </w:pPr>
      <w:r>
        <w:rPr>
          <w:rFonts w:ascii="黑体" w:hAnsi="黑体" w:eastAsia="黑体"/>
          <w:sz w:val="32"/>
        </w:rPr>
        <w:t>十一、预算绩效的情况说明</w:t>
      </w:r>
    </w:p>
    <w:p w14:paraId="02B2F65A">
      <w:pPr>
        <w:spacing w:line="580" w:lineRule="exact"/>
        <w:ind w:firstLine="640"/>
        <w:jc w:val="both"/>
      </w:pPr>
      <w:r>
        <w:rPr>
          <w:rFonts w:ascii="仿宋_GB2312" w:hAnsi="仿宋_GB2312" w:eastAsia="仿宋_GB2312"/>
          <w:b w:val="0"/>
          <w:sz w:val="32"/>
        </w:rPr>
        <w:t>根据预算绩效管理要求，本单位预算绩效评价项目0个，全年预算数0.00万元，全年执行数0.00万元。预算绩效管理取得的成效：本单位无项目绩效支出。发现的问题及原因：本单位无项目绩效支出。下一步改进措施：本单位无项目绩效支出。</w:t>
      </w:r>
    </w:p>
    <w:p w14:paraId="44071731">
      <w:r>
        <w:br w:type="page"/>
      </w:r>
    </w:p>
    <w:p w14:paraId="0C53529C">
      <w:pPr>
        <w:spacing w:line="640" w:lineRule="exact"/>
        <w:ind w:firstLine="640"/>
        <w:jc w:val="both"/>
        <w:outlineLvl w:val="2"/>
      </w:pPr>
      <w:r>
        <w:rPr>
          <w:rFonts w:ascii="黑体" w:hAnsi="黑体" w:eastAsia="黑体"/>
          <w:sz w:val="32"/>
        </w:rPr>
        <w:t>十二、其他需说明的事项</w:t>
      </w:r>
    </w:p>
    <w:p w14:paraId="7850046C">
      <w:pPr>
        <w:spacing w:line="580" w:lineRule="exact"/>
        <w:ind w:firstLine="640"/>
        <w:jc w:val="both"/>
      </w:pPr>
      <w:r>
        <w:rPr>
          <w:rFonts w:hint="eastAsia" w:ascii="仿宋_GB2312" w:hAnsi="仿宋_GB2312" w:eastAsia="仿宋_GB2312"/>
          <w:b w:val="0"/>
          <w:sz w:val="32"/>
        </w:rPr>
        <w:t>因2024年机构改革，阿图什市人民政府国有资产监督管理委员会年中从阿图什市财政局分离出来独立核算，因此本单位无整体支出绩效自评表。</w:t>
      </w:r>
      <w:bookmarkStart w:id="0" w:name="_GoBack"/>
      <w:bookmarkEnd w:id="0"/>
    </w:p>
    <w:p w14:paraId="282DD088">
      <w:r>
        <w:br w:type="page"/>
      </w:r>
    </w:p>
    <w:p w14:paraId="6880E619">
      <w:pPr>
        <w:spacing w:line="240" w:lineRule="auto"/>
        <w:jc w:val="center"/>
        <w:outlineLvl w:val="1"/>
      </w:pPr>
      <w:r>
        <w:rPr>
          <w:rFonts w:ascii="黑体" w:hAnsi="黑体" w:eastAsia="黑体"/>
          <w:sz w:val="32"/>
        </w:rPr>
        <w:t>第三部分 专业名词解释</w:t>
      </w:r>
    </w:p>
    <w:p w14:paraId="42EC7F16">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5A5419F">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09F0C76F">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CE9DBD4">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2DD0BE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342163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311CDC42">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E1F42F1">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BADD8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46F8E4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43DAA33">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1CEA1A27">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5B2ED07D">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267C22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8981B2C">
      <w:r>
        <w:br w:type="page"/>
      </w:r>
    </w:p>
    <w:p w14:paraId="297D813E">
      <w:pPr>
        <w:spacing w:line="240" w:lineRule="auto"/>
        <w:jc w:val="center"/>
        <w:outlineLvl w:val="1"/>
      </w:pPr>
      <w:r>
        <w:rPr>
          <w:rFonts w:ascii="黑体" w:hAnsi="黑体" w:eastAsia="黑体"/>
          <w:sz w:val="32"/>
        </w:rPr>
        <w:t>第四部分 部门决算报表（见附表）</w:t>
      </w:r>
    </w:p>
    <w:p w14:paraId="0B474313">
      <w:pPr>
        <w:spacing w:line="240" w:lineRule="auto"/>
        <w:ind w:firstLine="640"/>
        <w:jc w:val="both"/>
      </w:pPr>
      <w:r>
        <w:rPr>
          <w:rFonts w:ascii="仿宋_GB2312" w:hAnsi="仿宋_GB2312" w:eastAsia="仿宋_GB2312"/>
          <w:b w:val="0"/>
          <w:sz w:val="32"/>
        </w:rPr>
        <w:t>一、《收入支出决算总表》</w:t>
      </w:r>
    </w:p>
    <w:p w14:paraId="28B82DB9">
      <w:pPr>
        <w:spacing w:line="240" w:lineRule="auto"/>
        <w:ind w:firstLine="640"/>
        <w:jc w:val="both"/>
      </w:pPr>
      <w:r>
        <w:rPr>
          <w:rFonts w:ascii="仿宋_GB2312" w:hAnsi="仿宋_GB2312" w:eastAsia="仿宋_GB2312"/>
          <w:b w:val="0"/>
          <w:sz w:val="32"/>
        </w:rPr>
        <w:t>二、《收入决算表》</w:t>
      </w:r>
    </w:p>
    <w:p w14:paraId="36AF6EDA">
      <w:pPr>
        <w:spacing w:line="240" w:lineRule="auto"/>
        <w:ind w:firstLine="640"/>
        <w:jc w:val="both"/>
      </w:pPr>
      <w:r>
        <w:rPr>
          <w:rFonts w:ascii="仿宋_GB2312" w:hAnsi="仿宋_GB2312" w:eastAsia="仿宋_GB2312"/>
          <w:b w:val="0"/>
          <w:sz w:val="32"/>
        </w:rPr>
        <w:t>三、《支出决算表》</w:t>
      </w:r>
    </w:p>
    <w:p w14:paraId="39B55804">
      <w:pPr>
        <w:spacing w:line="240" w:lineRule="auto"/>
        <w:ind w:firstLine="640"/>
        <w:jc w:val="both"/>
      </w:pPr>
      <w:r>
        <w:rPr>
          <w:rFonts w:ascii="仿宋_GB2312" w:hAnsi="仿宋_GB2312" w:eastAsia="仿宋_GB2312"/>
          <w:b w:val="0"/>
          <w:sz w:val="32"/>
        </w:rPr>
        <w:t>四、《财政拨款收入支出决算总表》</w:t>
      </w:r>
    </w:p>
    <w:p w14:paraId="0F708F91">
      <w:pPr>
        <w:spacing w:line="240" w:lineRule="auto"/>
        <w:ind w:firstLine="640"/>
        <w:jc w:val="both"/>
      </w:pPr>
      <w:r>
        <w:rPr>
          <w:rFonts w:ascii="仿宋_GB2312" w:hAnsi="仿宋_GB2312" w:eastAsia="仿宋_GB2312"/>
          <w:b w:val="0"/>
          <w:sz w:val="32"/>
        </w:rPr>
        <w:t>五、《一般公共预算财政拨款支出决算表》</w:t>
      </w:r>
    </w:p>
    <w:p w14:paraId="7E6A4008">
      <w:pPr>
        <w:spacing w:line="240" w:lineRule="auto"/>
        <w:ind w:firstLine="640"/>
        <w:jc w:val="both"/>
      </w:pPr>
      <w:r>
        <w:rPr>
          <w:rFonts w:ascii="仿宋_GB2312" w:hAnsi="仿宋_GB2312" w:eastAsia="仿宋_GB2312"/>
          <w:b w:val="0"/>
          <w:sz w:val="32"/>
        </w:rPr>
        <w:t>六、《一般公共预算财政拨款基本支出决算表》</w:t>
      </w:r>
    </w:p>
    <w:p w14:paraId="70DBB236">
      <w:pPr>
        <w:spacing w:line="240" w:lineRule="auto"/>
        <w:ind w:firstLine="640"/>
        <w:jc w:val="both"/>
      </w:pPr>
      <w:r>
        <w:rPr>
          <w:rFonts w:ascii="仿宋_GB2312" w:hAnsi="仿宋_GB2312" w:eastAsia="仿宋_GB2312"/>
          <w:b w:val="0"/>
          <w:sz w:val="32"/>
        </w:rPr>
        <w:t>七、《政府性基金预算财政拨款收入支出决算表》</w:t>
      </w:r>
    </w:p>
    <w:p w14:paraId="7153A746">
      <w:pPr>
        <w:spacing w:line="240" w:lineRule="auto"/>
        <w:ind w:firstLine="640"/>
        <w:jc w:val="both"/>
      </w:pPr>
      <w:r>
        <w:rPr>
          <w:rFonts w:ascii="仿宋_GB2312" w:hAnsi="仿宋_GB2312" w:eastAsia="仿宋_GB2312"/>
          <w:b w:val="0"/>
          <w:sz w:val="32"/>
        </w:rPr>
        <w:t>八、《国有资本经营预算财政拨款收入支出决算表》</w:t>
      </w:r>
    </w:p>
    <w:p w14:paraId="6AF6E217">
      <w:pPr>
        <w:spacing w:line="240" w:lineRule="auto"/>
        <w:ind w:firstLine="640"/>
        <w:jc w:val="both"/>
      </w:pPr>
      <w:r>
        <w:rPr>
          <w:rFonts w:ascii="仿宋_GB2312" w:hAnsi="仿宋_GB2312" w:eastAsia="仿宋_GB2312"/>
          <w:b w:val="0"/>
          <w:sz w:val="32"/>
        </w:rPr>
        <w:t>九、《财政拨款“三公”经费支出决算表》</w:t>
      </w:r>
    </w:p>
    <w:p w14:paraId="5428BC1D">
      <w:pPr>
        <w:spacing w:line="240" w:lineRule="auto"/>
        <w:ind w:firstLine="640"/>
        <w:jc w:val="both"/>
      </w:pPr>
    </w:p>
    <w:p w14:paraId="39098C27">
      <w:pPr>
        <w:spacing w:line="240" w:lineRule="auto"/>
        <w:ind w:firstLine="640"/>
        <w:jc w:val="both"/>
      </w:pPr>
    </w:p>
    <w:p w14:paraId="4FD37A77">
      <w:pPr>
        <w:spacing w:line="240" w:lineRule="auto"/>
        <w:ind w:firstLine="640"/>
        <w:jc w:val="both"/>
      </w:pPr>
    </w:p>
    <w:p w14:paraId="4CDE79A2">
      <w:pPr>
        <w:spacing w:line="240" w:lineRule="auto"/>
        <w:ind w:firstLine="640"/>
        <w:jc w:val="both"/>
      </w:pPr>
    </w:p>
    <w:p w14:paraId="1EB6B8C1">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6402E8"/>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0843A55"/>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BA47FF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4550</Words>
  <Characters>5118</Characters>
  <Lines>0</Lines>
  <Paragraphs>0</Paragraphs>
  <TotalTime>6</TotalTime>
  <ScaleCrop>false</ScaleCrop>
  <LinksUpToDate>false</LinksUpToDate>
  <CharactersWithSpaces>5128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雨。</cp:lastModifiedBy>
  <cp:lastPrinted>2024-07-22T11:58:00Z</cp:lastPrinted>
  <dcterms:modified xsi:type="dcterms:W3CDTF">2025-09-09T09:41:49Z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