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村级运转经费（上级专项）项目支出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项目名称：村级运转经费（上级专项）</w:t>
      </w:r>
      <w:r>
        <w:rPr>
          <w:rFonts w:hint="eastAsia" w:ascii="黑体" w:hAnsi="黑体" w:eastAsia="黑体" w:cs="仿宋_GB2312"/>
          <w:color w:val="auto"/>
          <w:kern w:val="0"/>
          <w:sz w:val="32"/>
          <w:szCs w:val="32"/>
          <w:highlight w:val="none"/>
          <w:lang w:val="en-US" w:eastAsia="zh-CN"/>
        </w:rPr>
        <w:t>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项目单位：阿图什市阿扎克镇人民政府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主管部门：阿图什市阿扎克镇人民政府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7</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村级运转经费（上级专项）项目支出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根据自治州“十四五”规划及乡镇工作发展需要，按自治区乡镇工作要求，结合本单位正常运行，秩序等方面管理职能、管理和监督村各项财政收支，管理各类政策性补贴等方面工作职责，按照年度工作计划，开展阿扎克镇人民政府2024年村级运转经费（上级专项）项目</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为了保证地方基层组织的正常运转，更好地促进基层群众工作的协调发展。根据《关于加强村级组织运转经费保障工作的通知》</w:t>
      </w:r>
      <w:r>
        <w:rPr>
          <w:rFonts w:hint="eastAsia" w:ascii="仿宋_GB2312" w:hAnsi="仿宋" w:cs="宋体"/>
          <w:color w:val="auto"/>
          <w:sz w:val="32"/>
          <w:szCs w:val="32"/>
          <w:highlight w:val="none"/>
          <w:lang w:eastAsia="zh-CN"/>
        </w:rPr>
        <w:t>《中国共产党农村基层组织工作条例》</w:t>
      </w:r>
      <w:r>
        <w:rPr>
          <w:rFonts w:hint="eastAsia" w:ascii="仿宋_GB2312" w:hAnsi="仿宋" w:cs="宋体"/>
          <w:color w:val="auto"/>
          <w:sz w:val="32"/>
          <w:szCs w:val="32"/>
          <w:highlight w:val="none"/>
        </w:rPr>
        <w:t>文件要求，切实保证村级工作经费，进一步落实关于保证村级工作经费规定的具体举措，由村委员会履行各项工作，并让群众工作得到有力保障。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根据《阿图什市阿扎克镇人民政府工作会议纪要》，本项目资金150万元</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用于各村日常运转，支付临聘人员工资劳务费等支出，确保各村日常工作正常开展，提高</w:t>
      </w:r>
      <w:r>
        <w:rPr>
          <w:rFonts w:hint="eastAsia" w:ascii="仿宋_GB2312" w:hAnsi="仿宋_GB2312" w:cs="仿宋_GB2312"/>
          <w:color w:val="auto"/>
          <w:sz w:val="32"/>
          <w:szCs w:val="30"/>
          <w:highlight w:val="none"/>
          <w:lang w:val="en-US" w:eastAsia="zh-CN"/>
        </w:rPr>
        <w:t>服务群众工作质量和效率</w:t>
      </w:r>
      <w:r>
        <w:rPr>
          <w:rFonts w:hint="eastAsia" w:ascii="仿宋_GB2312" w:hAnsi="仿宋_GB2312" w:cs="仿宋_GB2312"/>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实施主体：本项目的主管部门为阿图什市阿扎克镇人民政府,实施单位为阿图什市阿扎克镇人民政府，主要职责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执行本级人民代表大会决议以及上级国家行政机关的决定和命令；执行全乡的社会和经济发展计划、预算，管理本乡内的经济、教育、科技、文化、卫生、体育事业和财政、民政、治安、人民调解、安全生产监督管理等行政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w:t>
      </w:r>
      <w:r>
        <w:rPr>
          <w:rFonts w:hint="eastAsia" w:ascii="仿宋_GB2312" w:hAnsi="仿宋_GB2312" w:cs="仿宋_GB2312"/>
          <w:bCs/>
          <w:color w:val="auto"/>
          <w:sz w:val="32"/>
          <w:szCs w:val="30"/>
          <w:highlight w:val="none"/>
          <w:lang w:eastAsia="zh-CN"/>
        </w:rPr>
        <w:t>《中国共产党农村基层组织工作条例》</w:t>
      </w:r>
      <w:r>
        <w:rPr>
          <w:rFonts w:hint="eastAsia" w:ascii="仿宋_GB2312" w:hAnsi="仿宋_GB2312" w:cs="仿宋_GB2312"/>
          <w:bCs/>
          <w:color w:val="auto"/>
          <w:sz w:val="32"/>
          <w:szCs w:val="30"/>
          <w:highlight w:val="none"/>
        </w:rPr>
        <w:t>相关政策要求，实际保障行政村数量15个，采购办公用品数量1批，缴纳水电网费12个月，确保各村日常工作正常开展，提高服务群众工作质量和效率。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资金投入情况：本项目总投资150万元，资金来源为本级部门预算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资金使用情况：根据项目实施情况，项目资金实际支付119.93万元，资金执行率达到</w:t>
      </w:r>
      <w:r>
        <w:rPr>
          <w:rStyle w:val="11"/>
          <w:rFonts w:hint="eastAsia" w:ascii="仿宋_GB2312" w:hAnsi="仿宋_GB2312" w:cs="仿宋_GB2312"/>
          <w:b w:val="0"/>
          <w:color w:val="auto"/>
          <w:spacing w:val="-4"/>
          <w:sz w:val="32"/>
          <w:szCs w:val="30"/>
          <w:highlight w:val="none"/>
          <w:lang w:val="en-US" w:eastAsia="zh-CN"/>
        </w:rPr>
        <w:t>80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采购办公用品及宣传用品服务成本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61.1257万元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各村日常运转经费成本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38.2079万元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各村劳务费及聘用人员工资成本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15.0615万元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各村维修材料及其他服务成本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5.5368万元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年度总体目标为：根据《阿图什市阿扎克镇人民政府工作会议纪要》，本项目资金150万元，用于各村日常运转，支付临聘人员工资劳务费等支出，确保各村日常工作正常开展，提高服务群众工作质量和效率。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村级运转经费（上级专项）项目属于延续项目，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郭亚伟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王健</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帕提古丽</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村级运转经费（上级专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数据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组织管理、产出与效益效果。在此基础上，以相关的项目数据为基础，综合运用不同的评价方法，结合评价标准和评分规则，村级运转经费（上级专项）项目综合得分为97.6分，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4年村级运转经费（上级专项）项目评价得分情况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项目预算执行率80%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28.6</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3条成本指标未完成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根据《关于加强村级组织运转经费保障工作的通知》</w:t>
      </w:r>
      <w:r>
        <w:rPr>
          <w:rFonts w:hint="eastAsia" w:ascii="仿宋_GB2312" w:hAnsi="仿宋_GB2312" w:cs="仿宋_GB2312"/>
          <w:color w:val="auto"/>
          <w:sz w:val="32"/>
          <w:szCs w:val="32"/>
          <w:highlight w:val="none"/>
          <w:lang w:eastAsia="zh-CN"/>
        </w:rPr>
        <w:t>《中国共产党农村基层组织工作条例》</w:t>
      </w:r>
      <w:r>
        <w:rPr>
          <w:rFonts w:hint="eastAsia" w:ascii="仿宋_GB2312" w:hAnsi="仿宋_GB2312" w:cs="仿宋_GB2312"/>
          <w:color w:val="auto"/>
          <w:sz w:val="32"/>
          <w:szCs w:val="32"/>
          <w:highlight w:val="none"/>
        </w:rPr>
        <w:t>相关政策要求，本年度保障行政村数量15个，采购办公用品数量1批，缴纳水电网费12个月，确保各村日常工作正常开展，提高服务群众工作质量和效率。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村级运转经费（上级专项）项目</w:t>
      </w:r>
      <w:r>
        <w:rPr>
          <w:rFonts w:hint="eastAsia" w:ascii="仿宋_GB2312" w:hAnsi="仿宋_GB2312" w:cs="仿宋_GB2312"/>
          <w:color w:val="auto"/>
          <w:sz w:val="32"/>
          <w:szCs w:val="32"/>
          <w:highlight w:val="none"/>
        </w:rPr>
        <w:t>支出共计119.93万元，评价得分值</w:t>
      </w:r>
      <w:r>
        <w:rPr>
          <w:rFonts w:hint="eastAsia" w:ascii="仿宋_GB2312" w:hAnsi="仿宋_GB2312" w:cs="仿宋_GB2312"/>
          <w:color w:val="auto"/>
          <w:sz w:val="32"/>
          <w:szCs w:val="32"/>
          <w:highlight w:val="none"/>
          <w:lang w:val="en-US" w:eastAsia="zh-CN"/>
        </w:rPr>
        <w:t>97.6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村级运转经费（上级专项）项目预算依据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w:t>
      </w:r>
      <w:bookmarkStart w:id="0" w:name="_GoBack"/>
      <w:bookmarkEnd w:id="0"/>
      <w:r>
        <w:rPr>
          <w:rFonts w:hint="eastAsia" w:ascii="仿宋_GB2312" w:hAnsi="仿宋_GB2312" w:cs="仿宋_GB2312"/>
          <w:color w:val="auto"/>
          <w:sz w:val="32"/>
          <w:szCs w:val="32"/>
          <w:highlight w:val="none"/>
        </w:rPr>
        <w:t>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村级运转</w:t>
      </w:r>
      <w:r>
        <w:rPr>
          <w:rFonts w:hint="eastAsia" w:ascii="仿宋_GB2312" w:hAnsi="仿宋_GB2312" w:cs="仿宋_GB2312"/>
          <w:color w:val="auto"/>
          <w:sz w:val="32"/>
          <w:szCs w:val="32"/>
          <w:highlight w:val="none"/>
          <w:lang w:val="en-US" w:eastAsia="zh-CN"/>
        </w:rPr>
        <w:t>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（4）严格按照政府采购制度规范实施政府采购。对于需要实施政府采购的活动，严格实施、履行采购手续，根据村级运转经费（上级专项）项目</w:t>
      </w:r>
      <w:r>
        <w:rPr>
          <w:rFonts w:hint="eastAsia" w:ascii="仿宋_GB2312" w:hAnsi="仿宋_GB2312" w:cs="仿宋_GB2312"/>
          <w:color w:val="auto"/>
          <w:sz w:val="32"/>
          <w:szCs w:val="32"/>
          <w:highlight w:val="none"/>
          <w:lang w:val="en-US" w:eastAsia="zh-CN"/>
        </w:rPr>
        <w:t>需求</w:t>
      </w:r>
      <w:r>
        <w:rPr>
          <w:rFonts w:hint="eastAsia" w:ascii="仿宋_GB2312" w:hAnsi="仿宋_GB2312" w:cs="仿宋_GB2312"/>
          <w:color w:val="auto"/>
          <w:sz w:val="32"/>
          <w:szCs w:val="32"/>
          <w:highlight w:val="none"/>
        </w:rPr>
        <w:t>，选择合规可行的采购形式，通过政采云平台下单方式完成采购工作，将采购政策、采购程序、采购过程规范化、透明化，提升村级运转经费（上级专项）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数量指标为行政村数量，预期指标值是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15个，实际完成值是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15个，指标达到预期目标。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1批，指标达到预期目标。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数量指标为缴纳水电网费，预期指标值是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质量指标为办公用品合格率，预期指标值是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b/>
          <w:color w:val="auto"/>
          <w:sz w:val="32"/>
          <w:szCs w:val="32"/>
          <w:highlight w:val="none"/>
        </w:rPr>
      </w:pPr>
      <w:r>
        <w:rPr>
          <w:rFonts w:hint="eastAsia" w:ascii="仿宋_GB2312"/>
          <w:b/>
          <w:bCs/>
          <w:color w:val="auto"/>
          <w:kern w:val="2"/>
          <w:sz w:val="32"/>
          <w:szCs w:val="32"/>
          <w:highlight w:val="none"/>
          <w:lang w:val="en-US" w:eastAsia="zh-CN" w:bidi="ar-SA"/>
        </w:rPr>
        <w:t>3</w:t>
      </w:r>
      <w:r>
        <w:rPr>
          <w:rFonts w:hint="default" w:ascii="仿宋_GB2312" w:eastAsia="仿宋_GB2312"/>
          <w:b/>
          <w:bCs/>
          <w:color w:val="auto"/>
          <w:kern w:val="2"/>
          <w:sz w:val="32"/>
          <w:szCs w:val="32"/>
          <w:highlight w:val="none"/>
          <w:lang w:val="en-US" w:eastAsia="zh-CN" w:bidi="ar-SA"/>
        </w:rPr>
        <w:t>．</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成本指标为采购办公用品及宣传用品服务成本，预期指标值是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75万元，实际完成值是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61.1257万元，指标未达到预期目标。原因：项目部分支出资料及手续不完整，导致指标未能完成；措施：下一年度做好项目管理工作，及时收集、完善支出资料，减少偏差。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成本指标为各村日常运转经费成本，预期指标值是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38.2079万元，指标未达到预期目标。原因：项目部分支出资料及手续不完整，导致指标未能完成；措施：下一年度做好项目管理工作，及时收集、完善支出资料，减少偏差。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成本指标为各村劳务费及聘用人员工资成本，预期指标值是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15.0615万元，指标达到预期目标。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成本指标为各村维修材料及其他服务成本，预期指标值是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5.5368万元，指标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指标为提升公共服务能力，预期指标值是有效提升，实际完成值是有效提升，指标达到预期目标。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满意度指标为服务群众满意度，预期指标值是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本项目全年预算数150万元，执行数119.93万元，执行率</w:t>
      </w:r>
      <w:r>
        <w:rPr>
          <w:rFonts w:hint="eastAsia"/>
          <w:color w:val="auto"/>
          <w:sz w:val="32"/>
          <w:highlight w:val="none"/>
          <w:lang w:val="en-US" w:eastAsia="zh-CN"/>
        </w:rPr>
        <w:t>80</w:t>
      </w:r>
      <w:r>
        <w:rPr>
          <w:rFonts w:hint="eastAsia"/>
          <w:color w:val="auto"/>
          <w:sz w:val="32"/>
          <w:highlight w:val="none"/>
        </w:rPr>
        <w:t>%，绩效指标完成率</w:t>
      </w:r>
      <w:r>
        <w:rPr>
          <w:rFonts w:hint="eastAsia"/>
          <w:color w:val="auto"/>
          <w:sz w:val="32"/>
          <w:highlight w:val="none"/>
          <w:lang w:val="en-US" w:eastAsia="zh-CN"/>
        </w:rPr>
        <w:t>92.2</w:t>
      </w:r>
      <w:r>
        <w:rPr>
          <w:rFonts w:hint="eastAsia"/>
          <w:color w:val="auto"/>
          <w:sz w:val="32"/>
          <w:highlight w:val="none"/>
        </w:rPr>
        <w:t>%，偏差率</w:t>
      </w:r>
      <w:r>
        <w:rPr>
          <w:rFonts w:hint="eastAsia"/>
          <w:color w:val="auto"/>
          <w:sz w:val="32"/>
          <w:highlight w:val="none"/>
          <w:lang w:val="en-US" w:eastAsia="zh-CN"/>
        </w:rPr>
        <w:t>12.2</w:t>
      </w:r>
      <w:r>
        <w:rPr>
          <w:rFonts w:hint="eastAsia"/>
          <w:color w:val="auto"/>
          <w:sz w:val="32"/>
          <w:highlight w:val="none"/>
        </w:rPr>
        <w:t>%。偏差原因：项目部分支出资料支付手续不完整，未能按时拨付资金，根据实际产生及提供的支出资料支付运转经费，因此导致</w:t>
      </w:r>
      <w:r>
        <w:rPr>
          <w:rFonts w:hint="eastAsia"/>
          <w:color w:val="auto"/>
          <w:sz w:val="32"/>
          <w:highlight w:val="none"/>
          <w:lang w:val="en-US" w:eastAsia="zh-CN"/>
        </w:rPr>
        <w:t>3</w:t>
      </w:r>
      <w:r>
        <w:rPr>
          <w:rFonts w:hint="eastAsia"/>
          <w:color w:val="auto"/>
          <w:sz w:val="32"/>
          <w:highlight w:val="none"/>
          <w:lang w:eastAsia="zh-CN"/>
        </w:rPr>
        <w:t>个</w:t>
      </w:r>
      <w:r>
        <w:rPr>
          <w:rFonts w:hint="eastAsia"/>
          <w:color w:val="auto"/>
          <w:sz w:val="32"/>
          <w:highlight w:val="none"/>
        </w:rPr>
        <w:t>成本指标均存在偏差，待提高预算执行进度和工作效率。</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35BC"/>
    <w:multiLevelType w:val="multilevel"/>
    <w:tmpl w:val="68CD35BC"/>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35C7"/>
    <w:multiLevelType w:val="singleLevel"/>
    <w:tmpl w:val="68CD35C7"/>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F4D3029"/>
    <w:rsid w:val="700929F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8467E976A8E14845BEB51F06D136A50B_13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33981-a81e-45c0-827b-5bd663e5102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8812</Words>
  <Characters>9052</Characters>
  <Lines>56</Lines>
  <Paragraphs>15</Paragraphs>
  <TotalTime>8</TotalTime>
  <ScaleCrop>false</ScaleCrop>
  <LinksUpToDate>false</LinksUpToDate>
  <CharactersWithSpaces>9062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2025-09-19T10:53:01Z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8467E976A8E14845BEB51F06D136A50B_13</vt:lpwstr>
  </property>
  <property fmtid="{D5CDD505-2E9C-101B-9397-08002B2CF9AE}" pid="4" name="KSOTemplateDocerSaveRecord">
    <vt:lpwstr>eyJoZGlkIjoiYzZkNzQ4ZWFiZmQ4NTRhOWRkZTk3YTMwMjlmMmZhYmUiLCJ1c2VySWQiOiI1NzgxMjU4NDIifQ_x003D__x003D_</vt:lpwstr>
  </property>
</Properties>
</file>