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阿图什市水管站2024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0F62F6D">
      <w:r>
        <w:br w:type="page"/>
      </w:r>
    </w:p>
    <w:p w14:paraId="4EA4AD8A">
      <w:pPr>
        <w:spacing w:line="640" w:lineRule="exact"/>
        <w:jc w:val="center"/>
        <w:outlineLvl w:val="1"/>
      </w:pPr>
      <w:r>
        <w:rPr>
          <w:rFonts w:ascii="黑体" w:hAnsi="黑体" w:eastAsia="黑体"/>
          <w:sz w:val="32"/>
        </w:rPr>
        <w:t>第一部分 单位概况</w:t>
      </w:r>
    </w:p>
    <w:p w14:paraId="7A0ACD0E">
      <w:pPr>
        <w:spacing w:line="640" w:lineRule="exact"/>
        <w:ind w:firstLine="640"/>
        <w:jc w:val="both"/>
        <w:outlineLvl w:val="2"/>
      </w:pPr>
      <w:r>
        <w:rPr>
          <w:rFonts w:ascii="黑体" w:hAnsi="黑体" w:eastAsia="黑体"/>
          <w:sz w:val="32"/>
        </w:rPr>
        <w:t>一、主要职能</w:t>
      </w:r>
    </w:p>
    <w:p w14:paraId="32BE7152">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承担着全市农牧区（除格达良外）的灌溉供水。</w:t>
      </w:r>
    </w:p>
    <w:p w14:paraId="6AD677A9">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水费征收。</w:t>
      </w:r>
    </w:p>
    <w:p w14:paraId="72D10CF4">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农田水利设施运行管理及维修。</w:t>
      </w:r>
    </w:p>
    <w:p w14:paraId="6307F396">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防汛抗旱。</w:t>
      </w:r>
    </w:p>
    <w:p w14:paraId="067D9CE4">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“供水到户推广”。</w:t>
      </w:r>
    </w:p>
    <w:p w14:paraId="3D93853A">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承办市政府和市水利局交办的其他事项。</w:t>
      </w:r>
    </w:p>
    <w:p w14:paraId="51601EA6">
      <w:pPr>
        <w:spacing w:line="640" w:lineRule="exact"/>
        <w:ind w:firstLine="640"/>
        <w:jc w:val="both"/>
        <w:outlineLvl w:val="2"/>
      </w:pPr>
      <w:r>
        <w:rPr>
          <w:rFonts w:ascii="黑体" w:hAnsi="黑体" w:eastAsia="黑体"/>
          <w:sz w:val="32"/>
        </w:rPr>
        <w:t>二、机构设置及人员情况</w:t>
      </w:r>
    </w:p>
    <w:p w14:paraId="367D3F7B">
      <w:pPr>
        <w:spacing w:line="580" w:lineRule="exact"/>
        <w:ind w:firstLine="640"/>
        <w:jc w:val="both"/>
      </w:pPr>
      <w:r>
        <w:rPr>
          <w:rFonts w:ascii="仿宋_GB2312" w:hAnsi="仿宋_GB2312" w:eastAsia="仿宋_GB2312"/>
          <w:sz w:val="32"/>
        </w:rPr>
        <w:t>阿图什市水管站2024年度，实有人数217人，其中：在职人员160人，减少8人；离休人员0人，增加0人；退休人员57人,增加8人。</w:t>
      </w:r>
    </w:p>
    <w:p w14:paraId="4D6E706A">
      <w:pPr>
        <w:spacing w:line="580" w:lineRule="exact"/>
        <w:ind w:firstLine="640"/>
        <w:jc w:val="both"/>
      </w:pPr>
      <w:r>
        <w:rPr>
          <w:rFonts w:ascii="仿宋_GB2312" w:hAnsi="仿宋_GB2312" w:eastAsia="仿宋_GB2312"/>
          <w:sz w:val="32"/>
        </w:rPr>
        <w:t>阿图什市水管站无下属预算单位，下设3个科室，分别是：办公室、财务室、业务室。</w:t>
      </w:r>
    </w:p>
    <w:p w14:paraId="2FCACC93">
      <w:r>
        <w:br w:type="page"/>
      </w:r>
    </w:p>
    <w:p w14:paraId="361ABDDE">
      <w:pPr>
        <w:spacing w:line="240" w:lineRule="auto"/>
        <w:jc w:val="center"/>
        <w:outlineLvl w:val="1"/>
      </w:pPr>
      <w:r>
        <w:rPr>
          <w:rFonts w:ascii="黑体" w:hAnsi="黑体" w:eastAsia="黑体"/>
          <w:sz w:val="32"/>
        </w:rPr>
        <w:t>第二部分 部门决算情况说明</w:t>
      </w:r>
    </w:p>
    <w:p w14:paraId="1AF6595B">
      <w:pPr>
        <w:spacing w:line="640" w:lineRule="exact"/>
        <w:ind w:firstLine="640"/>
        <w:jc w:val="both"/>
        <w:outlineLvl w:val="2"/>
      </w:pPr>
      <w:r>
        <w:rPr>
          <w:rFonts w:ascii="黑体" w:hAnsi="黑体" w:eastAsia="黑体"/>
          <w:sz w:val="32"/>
        </w:rPr>
        <w:t>一、收入支出决算总体情况说明</w:t>
      </w:r>
    </w:p>
    <w:p w14:paraId="277B9939">
      <w:pPr>
        <w:spacing w:line="580" w:lineRule="exact"/>
        <w:ind w:firstLine="640"/>
        <w:jc w:val="both"/>
      </w:pPr>
      <w:r>
        <w:rPr>
          <w:rFonts w:ascii="仿宋_GB2312" w:hAnsi="仿宋_GB2312" w:eastAsia="仿宋_GB2312"/>
          <w:b/>
          <w:sz w:val="32"/>
        </w:rPr>
        <w:t>2024年度收入总计12,076.05万元，</w:t>
      </w:r>
      <w:r>
        <w:rPr>
          <w:rFonts w:ascii="仿宋_GB2312" w:hAnsi="仿宋_GB2312" w:eastAsia="仿宋_GB2312"/>
          <w:b w:val="0"/>
          <w:sz w:val="32"/>
        </w:rPr>
        <w:t>其中：本年收入合计11,896.88万元，使用非财政拨款结余（含专用结余）0.00万元，年初结转和结余179.17万元。</w:t>
      </w:r>
    </w:p>
    <w:p w14:paraId="64F355F3">
      <w:pPr>
        <w:spacing w:line="580" w:lineRule="exact"/>
        <w:ind w:firstLine="640"/>
        <w:jc w:val="both"/>
      </w:pPr>
      <w:r>
        <w:rPr>
          <w:rFonts w:ascii="仿宋_GB2312" w:hAnsi="仿宋_GB2312" w:eastAsia="仿宋_GB2312"/>
          <w:b/>
          <w:sz w:val="32"/>
        </w:rPr>
        <w:t>2024年度支出总计12,076.05万元，</w:t>
      </w:r>
      <w:r>
        <w:rPr>
          <w:rFonts w:ascii="仿宋_GB2312" w:hAnsi="仿宋_GB2312" w:eastAsia="仿宋_GB2312"/>
          <w:b w:val="0"/>
          <w:sz w:val="32"/>
        </w:rPr>
        <w:t>其中：本年支出合计12,071.96万元，结余分配0.00万元，年末结转和结余4.09万元。</w:t>
      </w:r>
    </w:p>
    <w:p w14:paraId="1C4C0FFB">
      <w:pPr>
        <w:spacing w:line="580" w:lineRule="exact"/>
        <w:ind w:firstLine="640"/>
        <w:jc w:val="both"/>
      </w:pPr>
      <w:r>
        <w:rPr>
          <w:rFonts w:ascii="仿宋_GB2312" w:hAnsi="仿宋_GB2312" w:eastAsia="仿宋_GB2312"/>
          <w:b w:val="0"/>
          <w:sz w:val="32"/>
        </w:rPr>
        <w:t>收入支出总体与上年相比，减少11,725.87万元，下降49.26%，主要原因是：1.本年在职人员减少，相关人员经费较上年减少。2.本年减少阿图什市松他克镇以工代赈项目，阿图什市阿扎克镇抗旱应急调水工程，阿图什市哈拉峻乡中型灌区续建配套与节水改造项目，阿图什市格达良乡乔克其村支渠防渗渠建设项目，阿图什市上阿图什镇拉依勒克防洪坝堤防维修加固项目，阿图什市恰克玛克河北支流防洪坝水毁修复项目，阿图什市2023年小型水库维修养护工程，阿图什市格达良乡阿尔帕勒克村防洪坝水毁修复项目。</w:t>
      </w:r>
    </w:p>
    <w:p w14:paraId="1CADF0C7">
      <w:pPr>
        <w:spacing w:line="640" w:lineRule="exact"/>
        <w:ind w:firstLine="640"/>
        <w:jc w:val="both"/>
        <w:outlineLvl w:val="2"/>
      </w:pPr>
      <w:r>
        <w:rPr>
          <w:rFonts w:ascii="黑体" w:hAnsi="黑体" w:eastAsia="黑体"/>
          <w:sz w:val="32"/>
        </w:rPr>
        <w:t>二、收入决算情况说明</w:t>
      </w:r>
    </w:p>
    <w:p w14:paraId="7D08ED66">
      <w:pPr>
        <w:spacing w:line="580" w:lineRule="exact"/>
        <w:ind w:firstLine="640"/>
        <w:jc w:val="both"/>
      </w:pPr>
      <w:r>
        <w:rPr>
          <w:rFonts w:ascii="仿宋_GB2312" w:hAnsi="仿宋_GB2312" w:eastAsia="仿宋_GB2312"/>
          <w:b/>
          <w:sz w:val="32"/>
        </w:rPr>
        <w:t>本年收入11,896.88万元，</w:t>
      </w:r>
      <w:r>
        <w:rPr>
          <w:rFonts w:ascii="仿宋_GB2312" w:hAnsi="仿宋_GB2312" w:eastAsia="仿宋_GB2312"/>
          <w:b w:val="0"/>
          <w:sz w:val="32"/>
        </w:rPr>
        <w:t>其中：财政拨款收入10,139.03万元，占85.22%；上级补助收入0.00万元，占0.00%；事业收入1,757.84万元，占14.78%；经营收入0.00万元，占0.00%；附属单位上缴收入0.00万元，占0.00%；其他收入0.00万元，占0.00%。</w:t>
      </w:r>
    </w:p>
    <w:p w14:paraId="597A3FB5">
      <w:pPr>
        <w:spacing w:line="640" w:lineRule="exact"/>
        <w:ind w:firstLine="640"/>
        <w:jc w:val="both"/>
        <w:outlineLvl w:val="2"/>
      </w:pPr>
      <w:r>
        <w:rPr>
          <w:rFonts w:ascii="黑体" w:hAnsi="黑体" w:eastAsia="黑体"/>
          <w:sz w:val="32"/>
        </w:rPr>
        <w:t>三、支出决算情况说明</w:t>
      </w:r>
    </w:p>
    <w:p w14:paraId="61D0CE79">
      <w:pPr>
        <w:spacing w:line="580" w:lineRule="exact"/>
        <w:ind w:firstLine="640"/>
        <w:jc w:val="both"/>
      </w:pPr>
      <w:r>
        <w:rPr>
          <w:rFonts w:ascii="仿宋_GB2312" w:hAnsi="仿宋_GB2312" w:eastAsia="仿宋_GB2312"/>
          <w:b/>
          <w:sz w:val="32"/>
        </w:rPr>
        <w:t>本年支出12,071.96万元，</w:t>
      </w:r>
      <w:r>
        <w:rPr>
          <w:rFonts w:ascii="仿宋_GB2312" w:hAnsi="仿宋_GB2312" w:eastAsia="仿宋_GB2312"/>
          <w:b w:val="0"/>
          <w:sz w:val="32"/>
        </w:rPr>
        <w:t>其中：基本支出109.63万元，占0.91%；项目支出11,962.33万元，占99.09%；上缴上级支出0.00万元，占0.00%；经营支出0.00万元，占0.00%；对附属单位补助支出0.00万元，占0.00%。</w:t>
      </w:r>
    </w:p>
    <w:p w14:paraId="5287B35C">
      <w:pPr>
        <w:spacing w:line="640" w:lineRule="exact"/>
        <w:ind w:firstLine="640"/>
        <w:jc w:val="both"/>
        <w:outlineLvl w:val="2"/>
      </w:pPr>
      <w:r>
        <w:rPr>
          <w:rFonts w:ascii="黑体" w:hAnsi="黑体" w:eastAsia="黑体"/>
          <w:sz w:val="32"/>
        </w:rPr>
        <w:t>四、财政拨款收入支出决算总体情况说明</w:t>
      </w:r>
    </w:p>
    <w:p w14:paraId="424FA358">
      <w:pPr>
        <w:spacing w:line="580" w:lineRule="exact"/>
        <w:ind w:firstLine="640"/>
        <w:jc w:val="both"/>
      </w:pPr>
      <w:r>
        <w:rPr>
          <w:rFonts w:ascii="仿宋_GB2312" w:hAnsi="仿宋_GB2312" w:eastAsia="仿宋_GB2312"/>
          <w:b/>
          <w:sz w:val="32"/>
        </w:rPr>
        <w:t>2024年度财政拨款收入总计10,139.03万元，</w:t>
      </w:r>
      <w:r>
        <w:rPr>
          <w:rFonts w:ascii="仿宋_GB2312" w:hAnsi="仿宋_GB2312" w:eastAsia="仿宋_GB2312"/>
          <w:b w:val="0"/>
          <w:sz w:val="32"/>
        </w:rPr>
        <w:t>其中：年初财政拨款结转和结余0.00万元，本年财政拨款收入10,139.03万元。</w:t>
      </w:r>
      <w:r>
        <w:rPr>
          <w:rFonts w:ascii="仿宋_GB2312" w:hAnsi="仿宋_GB2312" w:eastAsia="仿宋_GB2312"/>
          <w:b/>
          <w:sz w:val="32"/>
        </w:rPr>
        <w:t>财政拨款支出总计10,139.03万元，</w:t>
      </w:r>
      <w:r>
        <w:rPr>
          <w:rFonts w:ascii="仿宋_GB2312" w:hAnsi="仿宋_GB2312" w:eastAsia="仿宋_GB2312"/>
          <w:b w:val="0"/>
          <w:sz w:val="32"/>
        </w:rPr>
        <w:t>其中：年末财政拨款结转和结余0.00万元，本年财政拨款支出10,139.03万元。</w:t>
      </w:r>
    </w:p>
    <w:p w14:paraId="10B5CED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11,167.72万元，下降52.41%，主要原因是：1.本年在职人员减少，相关人员经费较上年减少。2.本年减少阿图什市松他克镇以工代赈项目，阿图什市阿扎克镇抗旱应急调水工程，阿图什市哈拉峻乡中型灌区续建配套与节水改造项目，阿图什市格达良乡乔克其村支渠防渗渠建设项目，阿图什市上阿图什镇拉依勒克防洪坝堤防维修加固项目，阿图什市恰克玛克河北支流防洪坝水毁修复项目，阿图什市2023年小型水库维修养护工程，阿图什市格达良乡阿尔帕勒克村防洪坝水毁修复项目。</w:t>
      </w:r>
      <w:r>
        <w:rPr>
          <w:rFonts w:ascii="仿宋_GB2312" w:hAnsi="仿宋_GB2312" w:eastAsia="仿宋_GB2312"/>
          <w:b/>
          <w:sz w:val="32"/>
        </w:rPr>
        <w:t>与年初预算相比，</w:t>
      </w:r>
      <w:r>
        <w:rPr>
          <w:rFonts w:ascii="仿宋_GB2312" w:hAnsi="仿宋_GB2312" w:eastAsia="仿宋_GB2312"/>
          <w:b w:val="0"/>
          <w:sz w:val="32"/>
        </w:rPr>
        <w:t>年初预算数2,582.99万元，决算数10,139.03万元，预决算差异率292.53%，主要原因是：</w:t>
      </w:r>
      <w:r>
        <w:rPr>
          <w:rFonts w:hint="eastAsia" w:ascii="仿宋_GB2312" w:hAnsi="仿宋_GB2312" w:eastAsia="仿宋_GB2312"/>
          <w:b w:val="0"/>
          <w:sz w:val="32"/>
          <w:lang w:val="en-US" w:eastAsia="zh-CN"/>
        </w:rPr>
        <w:t>本年年</w:t>
      </w:r>
      <w:r>
        <w:rPr>
          <w:rFonts w:ascii="仿宋_GB2312" w:hAnsi="仿宋_GB2312" w:eastAsia="仿宋_GB2312"/>
          <w:b w:val="0"/>
          <w:sz w:val="32"/>
        </w:rPr>
        <w:t>中追加阿图什市松他克镇石榴基地支渠防渗渠工程、阿图什市巴羌生态综合治理引水示范建设工程、阿图什市格达良乡北干渠调水项目、阿图什市松他克镇六个村支渠防渗渠项目，导致预决算差异。</w:t>
      </w:r>
    </w:p>
    <w:p w14:paraId="6FD7B553">
      <w:pPr>
        <w:spacing w:line="640" w:lineRule="exact"/>
        <w:ind w:firstLine="640"/>
        <w:jc w:val="both"/>
        <w:outlineLvl w:val="2"/>
      </w:pPr>
      <w:r>
        <w:rPr>
          <w:rFonts w:ascii="黑体" w:hAnsi="黑体" w:eastAsia="黑体"/>
          <w:sz w:val="32"/>
        </w:rPr>
        <w:t>五、一般公共预算财政拨款支出决算情况说明</w:t>
      </w:r>
    </w:p>
    <w:p w14:paraId="2487D309">
      <w:pPr>
        <w:spacing w:line="640" w:lineRule="exact"/>
        <w:ind w:firstLine="640"/>
        <w:jc w:val="both"/>
        <w:outlineLvl w:val="3"/>
      </w:pPr>
      <w:r>
        <w:rPr>
          <w:rFonts w:ascii="楷体_GB2312" w:hAnsi="楷体_GB2312" w:eastAsia="楷体_GB2312"/>
          <w:b/>
          <w:sz w:val="32"/>
        </w:rPr>
        <w:t>（一）一般公共预算财政拨款支出决算总体情况</w:t>
      </w:r>
    </w:p>
    <w:p w14:paraId="0058467F">
      <w:pPr>
        <w:spacing w:line="580" w:lineRule="exact"/>
        <w:ind w:firstLine="640"/>
        <w:jc w:val="both"/>
      </w:pPr>
      <w:r>
        <w:rPr>
          <w:rFonts w:ascii="仿宋_GB2312" w:hAnsi="仿宋_GB2312" w:eastAsia="仿宋_GB2312"/>
          <w:b/>
          <w:sz w:val="32"/>
        </w:rPr>
        <w:t>2024年度一般公共预算财政拨款支出10,139.03万元，</w:t>
      </w:r>
      <w:r>
        <w:rPr>
          <w:rFonts w:ascii="仿宋_GB2312" w:hAnsi="仿宋_GB2312" w:eastAsia="仿宋_GB2312"/>
          <w:b w:val="0"/>
          <w:sz w:val="32"/>
        </w:rPr>
        <w:t>占本年支出合计的83.99%。</w:t>
      </w:r>
      <w:r>
        <w:rPr>
          <w:rFonts w:ascii="仿宋_GB2312" w:hAnsi="仿宋_GB2312" w:eastAsia="仿宋_GB2312"/>
          <w:b/>
          <w:sz w:val="32"/>
        </w:rPr>
        <w:t>与上年相比，</w:t>
      </w:r>
      <w:r>
        <w:rPr>
          <w:rFonts w:ascii="仿宋_GB2312" w:hAnsi="仿宋_GB2312" w:eastAsia="仿宋_GB2312"/>
          <w:b w:val="0"/>
          <w:sz w:val="32"/>
        </w:rPr>
        <w:t>减少11,167.72万元，下降52.41%，主要原因是：1.本年在职人员减少，相关人员经费较上年减少。2.本年减少阿图什市松他克镇以工代赈项目，阿图什市阿扎克镇抗旱应急调水工程，阿图什市哈拉峻乡中型灌区续建配套与节水改造项目，阿图什市格达良乡乔克其村支渠防渗渠建设项目，阿图什市上阿图什镇拉依勒克防洪坝堤防维修加固项目，阿图什市恰克玛克河北支流防洪坝水毁修复项目，阿图什市2023年小型水库维修养护工程，阿图什市格达良乡阿尔帕勒克村防洪坝水毁修复项目。</w:t>
      </w:r>
      <w:r>
        <w:rPr>
          <w:rFonts w:ascii="仿宋_GB2312" w:hAnsi="仿宋_GB2312" w:eastAsia="仿宋_GB2312"/>
          <w:b/>
          <w:sz w:val="32"/>
        </w:rPr>
        <w:t>与年初预算相比,</w:t>
      </w:r>
      <w:r>
        <w:rPr>
          <w:rFonts w:ascii="仿宋_GB2312" w:hAnsi="仿宋_GB2312" w:eastAsia="仿宋_GB2312"/>
          <w:b w:val="0"/>
          <w:sz w:val="32"/>
        </w:rPr>
        <w:t>年初预算数2,582.99万元，决算数10,139.03万元，预决算差异率292.53%，主要原因是：</w:t>
      </w:r>
      <w:r>
        <w:rPr>
          <w:rFonts w:hint="eastAsia" w:ascii="仿宋_GB2312" w:hAnsi="仿宋_GB2312" w:eastAsia="仿宋_GB2312"/>
          <w:b w:val="0"/>
          <w:sz w:val="32"/>
          <w:lang w:val="en-US" w:eastAsia="zh-CN"/>
        </w:rPr>
        <w:t>本年年</w:t>
      </w:r>
      <w:r>
        <w:rPr>
          <w:rFonts w:ascii="仿宋_GB2312" w:hAnsi="仿宋_GB2312" w:eastAsia="仿宋_GB2312"/>
          <w:b w:val="0"/>
          <w:sz w:val="32"/>
        </w:rPr>
        <w:t>中追加阿图什市松他克镇石榴基地支渠防渗渠工程、阿图什市巴羌生态综合治理引水示范建设工程、阿图什市格达良乡北干渠调水项目、阿图什市松他克镇六个村支渠防渗渠项目，导致预决算差异。</w:t>
      </w:r>
    </w:p>
    <w:p w14:paraId="36EB1743">
      <w:pPr>
        <w:spacing w:line="640" w:lineRule="exact"/>
        <w:ind w:firstLine="640"/>
        <w:jc w:val="both"/>
        <w:outlineLvl w:val="3"/>
      </w:pPr>
      <w:r>
        <w:rPr>
          <w:rFonts w:ascii="楷体_GB2312" w:hAnsi="楷体_GB2312" w:eastAsia="楷体_GB2312"/>
          <w:b/>
          <w:sz w:val="32"/>
        </w:rPr>
        <w:t>（二）一般公共预算财政拨款支出决算结构情况</w:t>
      </w:r>
    </w:p>
    <w:p w14:paraId="4762C005">
      <w:pPr>
        <w:spacing w:line="580" w:lineRule="exact"/>
        <w:ind w:firstLine="640"/>
        <w:jc w:val="both"/>
      </w:pPr>
      <w:r>
        <w:rPr>
          <w:rFonts w:ascii="仿宋_GB2312" w:hAnsi="仿宋_GB2312" w:eastAsia="仿宋_GB2312"/>
          <w:b w:val="0"/>
          <w:sz w:val="32"/>
        </w:rPr>
        <w:t>1.教育支出(类)148.63万元,占1.47%。</w:t>
      </w:r>
    </w:p>
    <w:p w14:paraId="300DAD9B">
      <w:pPr>
        <w:spacing w:line="580" w:lineRule="exact"/>
        <w:ind w:firstLine="640"/>
        <w:jc w:val="both"/>
      </w:pPr>
      <w:r>
        <w:rPr>
          <w:rFonts w:ascii="仿宋_GB2312" w:hAnsi="仿宋_GB2312" w:eastAsia="仿宋_GB2312"/>
          <w:b w:val="0"/>
          <w:sz w:val="32"/>
        </w:rPr>
        <w:t>2.社会保障和就业支出(类)13.14万元,占0.13%。</w:t>
      </w:r>
    </w:p>
    <w:p w14:paraId="790CDD86">
      <w:pPr>
        <w:spacing w:line="580" w:lineRule="exact"/>
        <w:ind w:firstLine="640"/>
        <w:jc w:val="both"/>
      </w:pPr>
      <w:r>
        <w:rPr>
          <w:rFonts w:ascii="仿宋_GB2312" w:hAnsi="仿宋_GB2312" w:eastAsia="仿宋_GB2312"/>
          <w:b w:val="0"/>
          <w:sz w:val="32"/>
        </w:rPr>
        <w:t>3.卫生健康支出(类)3.38万元,占0.03%。</w:t>
      </w:r>
    </w:p>
    <w:p w14:paraId="05E29A75">
      <w:pPr>
        <w:spacing w:line="580" w:lineRule="exact"/>
        <w:ind w:firstLine="640"/>
        <w:jc w:val="both"/>
      </w:pPr>
      <w:r>
        <w:rPr>
          <w:rFonts w:ascii="仿宋_GB2312" w:hAnsi="仿宋_GB2312" w:eastAsia="仿宋_GB2312"/>
          <w:b w:val="0"/>
          <w:sz w:val="32"/>
        </w:rPr>
        <w:t>4.农林水支出(类)9,635.57万元,占95.03%。</w:t>
      </w:r>
    </w:p>
    <w:p w14:paraId="0E436C99">
      <w:pPr>
        <w:spacing w:line="580" w:lineRule="exact"/>
        <w:ind w:firstLine="640"/>
        <w:jc w:val="both"/>
      </w:pPr>
      <w:r>
        <w:rPr>
          <w:rFonts w:ascii="仿宋_GB2312" w:hAnsi="仿宋_GB2312" w:eastAsia="仿宋_GB2312"/>
          <w:b w:val="0"/>
          <w:sz w:val="32"/>
        </w:rPr>
        <w:t>5.住房保障支出(类)8.22万元,占0.08%。</w:t>
      </w:r>
    </w:p>
    <w:p w14:paraId="5FBC5BEC">
      <w:pPr>
        <w:spacing w:line="580" w:lineRule="exact"/>
        <w:ind w:firstLine="640"/>
        <w:jc w:val="both"/>
      </w:pPr>
      <w:r>
        <w:rPr>
          <w:rFonts w:ascii="仿宋_GB2312" w:hAnsi="仿宋_GB2312" w:eastAsia="仿宋_GB2312"/>
          <w:b w:val="0"/>
          <w:sz w:val="32"/>
        </w:rPr>
        <w:t>6.其他支出(类)330.11万元,占3.26%。</w:t>
      </w:r>
    </w:p>
    <w:p w14:paraId="6587AC93">
      <w:pPr>
        <w:spacing w:line="640" w:lineRule="exact"/>
        <w:ind w:firstLine="640"/>
        <w:jc w:val="both"/>
        <w:outlineLvl w:val="3"/>
      </w:pPr>
      <w:r>
        <w:rPr>
          <w:rFonts w:ascii="楷体_GB2312" w:hAnsi="楷体_GB2312" w:eastAsia="楷体_GB2312"/>
          <w:b/>
          <w:sz w:val="32"/>
        </w:rPr>
        <w:t>（三）一般公共预算财政拨款支出决算具体情况</w:t>
      </w:r>
    </w:p>
    <w:p w14:paraId="138B475F">
      <w:pPr>
        <w:spacing w:line="580" w:lineRule="exact"/>
        <w:ind w:firstLine="640"/>
        <w:jc w:val="both"/>
      </w:pPr>
      <w:r>
        <w:rPr>
          <w:rFonts w:ascii="仿宋_GB2312" w:hAnsi="仿宋_GB2312" w:eastAsia="仿宋_GB2312"/>
          <w:b w:val="0"/>
          <w:sz w:val="32"/>
        </w:rPr>
        <w:t>1.教育支出(类)普通教育(款)小学教育(项):支出决算数为148.63万元，比上年决算减少160.37万元，下降51.90%,主要原因是：本年减少分流至教育系统工作</w:t>
      </w:r>
      <w:r>
        <w:rPr>
          <w:rFonts w:hint="eastAsia" w:ascii="仿宋_GB2312" w:hAnsi="仿宋_GB2312" w:eastAsia="仿宋_GB2312"/>
          <w:b w:val="0"/>
          <w:sz w:val="32"/>
          <w:lang w:val="en-US" w:eastAsia="zh-CN"/>
        </w:rPr>
        <w:t>的</w:t>
      </w:r>
      <w:r>
        <w:rPr>
          <w:rFonts w:ascii="仿宋_GB2312" w:hAnsi="仿宋_GB2312" w:eastAsia="仿宋_GB2312"/>
          <w:b w:val="0"/>
          <w:sz w:val="32"/>
        </w:rPr>
        <w:t>人员保安工资。</w:t>
      </w:r>
    </w:p>
    <w:p w14:paraId="6A22BE26">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2.社会保障和就业支出(类)行政事业单位养老支出(款)事业单位离退休(项):支出决算数为2.83万元，比上年决算增加0.29万元，增长11.42%,主要原因是：本年增加退休人员绩效奖，退休费增加。</w:t>
      </w:r>
    </w:p>
    <w:p w14:paraId="76E2F205">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10.31万元，比上年决算增加0.84万元，增长8.87%,主要原因是：本年人员工资基数调增，养老缴费基数上涨，相应支出增加。</w:t>
      </w:r>
    </w:p>
    <w:p w14:paraId="3E5838A3">
      <w:pPr>
        <w:spacing w:line="580" w:lineRule="exact"/>
        <w:ind w:firstLine="640"/>
        <w:jc w:val="both"/>
      </w:pPr>
      <w:r>
        <w:rPr>
          <w:rFonts w:ascii="仿宋_GB2312" w:hAnsi="仿宋_GB2312" w:eastAsia="仿宋_GB2312"/>
          <w:b w:val="0"/>
          <w:sz w:val="32"/>
        </w:rPr>
        <w:t>4.社会保障和就业支出(类)抚恤(款)死亡抚恤(项):支出决算数为0.00万元，比上年决算减少8.84万元，下降100.00%,主要原因是：本年无</w:t>
      </w:r>
      <w:r>
        <w:rPr>
          <w:rFonts w:hint="eastAsia" w:ascii="仿宋_GB2312" w:hAnsi="仿宋_GB2312" w:eastAsia="仿宋_GB2312"/>
          <w:b w:val="0"/>
          <w:sz w:val="32"/>
          <w:lang w:eastAsia="zh-CN"/>
        </w:rPr>
        <w:t>去世</w:t>
      </w:r>
      <w:r>
        <w:rPr>
          <w:rFonts w:ascii="仿宋_GB2312" w:hAnsi="仿宋_GB2312" w:eastAsia="仿宋_GB2312"/>
          <w:b w:val="0"/>
          <w:sz w:val="32"/>
        </w:rPr>
        <w:t>退休人员，相应支出减少。</w:t>
      </w:r>
    </w:p>
    <w:p w14:paraId="6559ABEB">
      <w:pPr>
        <w:spacing w:line="580" w:lineRule="exact"/>
        <w:ind w:firstLine="640"/>
        <w:jc w:val="both"/>
      </w:pPr>
      <w:r>
        <w:rPr>
          <w:rFonts w:ascii="仿宋_GB2312" w:hAnsi="仿宋_GB2312" w:eastAsia="仿宋_GB2312"/>
          <w:b w:val="0"/>
          <w:sz w:val="32"/>
        </w:rPr>
        <w:t>5.卫生健康支出(类)行政事业单位医疗(款)事业单位医疗(项):支出决算数为3.38万元，比上年决算增加0.52万元，增长18.18%,主要原因是：本年在职人员工资基数调增，医疗缴费基数上涨，相应支出增加。</w:t>
      </w:r>
    </w:p>
    <w:p w14:paraId="16A42EDA">
      <w:pPr>
        <w:spacing w:line="580" w:lineRule="exact"/>
        <w:ind w:firstLine="640"/>
        <w:jc w:val="both"/>
      </w:pPr>
      <w:r>
        <w:rPr>
          <w:rFonts w:ascii="仿宋_GB2312" w:hAnsi="仿宋_GB2312" w:eastAsia="仿宋_GB2312"/>
          <w:b w:val="0"/>
          <w:sz w:val="32"/>
        </w:rPr>
        <w:t>6.农林水支出(类)农业农村(款)其他农业农村支出(项):支出决算数为3.59万元，比上年决算增加0.08万元，增长2.28%,主要原因是：本年增加克孜勒苏柯尔克孜自治州“井电双控”项目资金。</w:t>
      </w:r>
    </w:p>
    <w:p w14:paraId="5ADFBE04">
      <w:pPr>
        <w:spacing w:line="580" w:lineRule="exact"/>
        <w:ind w:firstLine="640"/>
        <w:jc w:val="both"/>
      </w:pPr>
      <w:r>
        <w:rPr>
          <w:rFonts w:ascii="仿宋_GB2312" w:hAnsi="仿宋_GB2312" w:eastAsia="仿宋_GB2312"/>
          <w:b w:val="0"/>
          <w:sz w:val="32"/>
        </w:rPr>
        <w:t>7.农林水支出(类)水利(款)水利工程运行与维护(项):支出决算数为351.23万元，比上年决算增加351.23万元，增长100.00%,主要原因是：本年增加公益性人员补助项目资金。</w:t>
      </w:r>
    </w:p>
    <w:p w14:paraId="0C4D0AEB">
      <w:pPr>
        <w:spacing w:line="580" w:lineRule="exact"/>
        <w:ind w:firstLine="640"/>
        <w:jc w:val="both"/>
      </w:pPr>
      <w:r>
        <w:rPr>
          <w:rFonts w:ascii="仿宋_GB2312" w:hAnsi="仿宋_GB2312" w:eastAsia="仿宋_GB2312"/>
          <w:b w:val="0"/>
          <w:sz w:val="32"/>
        </w:rPr>
        <w:t>8.农林水支出(类)水利(款)防汛(项):支出决算数为0.00万元，比上年决算减少68.47万元，下降100.00%,主要原因是：本年减少阿图什市上阿图什镇拉依勒克防洪坝堤防维修加固项目，阿图什市恰克玛克河北支流防洪坝水毁修复项目，阿图什市格达良乡阿尔帕勒克村防洪坝水毁修复项目。</w:t>
      </w:r>
    </w:p>
    <w:p w14:paraId="18A69A8E">
      <w:pPr>
        <w:spacing w:line="580" w:lineRule="exact"/>
        <w:ind w:firstLine="640"/>
        <w:jc w:val="both"/>
      </w:pPr>
      <w:r>
        <w:rPr>
          <w:rFonts w:ascii="仿宋_GB2312" w:hAnsi="仿宋_GB2312" w:eastAsia="仿宋_GB2312"/>
          <w:b w:val="0"/>
          <w:sz w:val="32"/>
        </w:rPr>
        <w:t>9.农林水支出(类)水利(款)江河湖库水系综合整治(项):支出决算数为48.14万元，比上年决算减少92.45万元，下降65.76%,主要原因是：本年减少阿图什市2023年小型水库维修养护工程。</w:t>
      </w:r>
    </w:p>
    <w:p w14:paraId="797FE1DF">
      <w:pPr>
        <w:spacing w:line="580" w:lineRule="exact"/>
        <w:ind w:firstLine="640"/>
        <w:jc w:val="both"/>
      </w:pPr>
      <w:r>
        <w:rPr>
          <w:rFonts w:ascii="仿宋_GB2312" w:hAnsi="仿宋_GB2312" w:eastAsia="仿宋_GB2312"/>
          <w:b w:val="0"/>
          <w:sz w:val="32"/>
        </w:rPr>
        <w:t>10.农林水支出(类)水利(款)信息管理(项):支出决算数为0.00万元，比上年决算减少1,783.39万元，下降100.00%,主要原因是：本年减少阿图什市恰河灌区、布河灌区渠道现代化工程（信息化）项目经费。</w:t>
      </w:r>
    </w:p>
    <w:p w14:paraId="4FA9591E">
      <w:pPr>
        <w:spacing w:line="580" w:lineRule="exact"/>
        <w:ind w:firstLine="640"/>
        <w:jc w:val="both"/>
      </w:pPr>
      <w:r>
        <w:rPr>
          <w:rFonts w:ascii="仿宋_GB2312" w:hAnsi="仿宋_GB2312" w:eastAsia="仿宋_GB2312"/>
          <w:b w:val="0"/>
          <w:sz w:val="32"/>
        </w:rPr>
        <w:t>11.农林水支出(类)水利(款)其他水利支出(项):支出决算数为2,562.71万元，比上年决算减少1,159.70万元，下降31.15%,主要原因是：本年减少阿图什市阿拉萨依河出口段防洪工程项目资金。</w:t>
      </w:r>
    </w:p>
    <w:p w14:paraId="525426EE">
      <w:pPr>
        <w:spacing w:line="580" w:lineRule="exact"/>
        <w:ind w:firstLine="640"/>
        <w:jc w:val="both"/>
      </w:pPr>
      <w:r>
        <w:rPr>
          <w:rFonts w:ascii="仿宋_GB2312" w:hAnsi="仿宋_GB2312" w:eastAsia="仿宋_GB2312"/>
          <w:b w:val="0"/>
          <w:sz w:val="32"/>
        </w:rPr>
        <w:t>12.农林水支出(类)巩固脱贫攻坚成果衔接乡村振兴(款)农村基础设施建设(项):支出决算数为46.64万元，比上年决算减少1,031.19万元，下降95.67%,主要原因是：本年减少阿图什市松他克镇以工代赈项目，阿图什市阿扎克镇抗旱应急调水工程项目资金。</w:t>
      </w:r>
    </w:p>
    <w:p w14:paraId="6A86EFCB">
      <w:pPr>
        <w:spacing w:line="580" w:lineRule="exact"/>
        <w:ind w:firstLine="640"/>
        <w:jc w:val="both"/>
      </w:pPr>
      <w:r>
        <w:rPr>
          <w:rFonts w:ascii="仿宋_GB2312" w:hAnsi="仿宋_GB2312" w:eastAsia="仿宋_GB2312"/>
          <w:b w:val="0"/>
          <w:sz w:val="32"/>
        </w:rPr>
        <w:t>13.农林水支出(类)巩固脱贫攻坚成果衔接乡村振兴(款)生产发展(项):支出决算数为2,002.84万元，比上年决算减少7,636.49万元，下降79.22%,主要原因是：本年减少阿图什市松他克镇以工代赈项目，阿图什市阿扎克镇抗旱应急调水工程，阿图什市哈拉峻乡中型灌区续建配套与节水改造项目，阿图什市格达良乡乔克其村支渠防渗渠建设项目资金。</w:t>
      </w:r>
    </w:p>
    <w:p w14:paraId="4BCDD4D0">
      <w:pPr>
        <w:spacing w:line="580" w:lineRule="exact"/>
        <w:ind w:firstLine="640"/>
        <w:jc w:val="both"/>
      </w:pPr>
      <w:r>
        <w:rPr>
          <w:rFonts w:ascii="仿宋_GB2312" w:hAnsi="仿宋_GB2312" w:eastAsia="仿宋_GB2312"/>
          <w:b w:val="0"/>
          <w:sz w:val="32"/>
        </w:rPr>
        <w:t>14.农林水支出(类)巩固脱贫攻坚成果衔接乡村振兴(款)其他巩固脱贫攻坚成果衔接乡村振兴支出(项):支出决算数为4,620.42万元，比上年决算增加4,620.42万元，增长100.00%,主要原因是：本年增加阿图什市松他克镇石榴基地支渠防渗渠工程项目资金。</w:t>
      </w:r>
    </w:p>
    <w:p w14:paraId="36F926F2">
      <w:pPr>
        <w:spacing w:line="580" w:lineRule="exact"/>
        <w:ind w:firstLine="640"/>
        <w:jc w:val="both"/>
      </w:pPr>
      <w:r>
        <w:rPr>
          <w:rFonts w:ascii="仿宋_GB2312" w:hAnsi="仿宋_GB2312" w:eastAsia="仿宋_GB2312"/>
          <w:b w:val="0"/>
          <w:sz w:val="32"/>
        </w:rPr>
        <w:t>15.住房保障支出(类)住房改革支出(款)住房公积金(项):支出决算数为8.22万元，比上年决算增加0.22万元，增长2.75%,主要原因是：本年人员工资基数调增，公积金缴费基数上涨，相应支出增加。</w:t>
      </w:r>
    </w:p>
    <w:p w14:paraId="01E2B554">
      <w:pPr>
        <w:spacing w:line="580" w:lineRule="exact"/>
        <w:ind w:firstLine="640"/>
        <w:jc w:val="both"/>
      </w:pPr>
      <w:r>
        <w:rPr>
          <w:rFonts w:ascii="仿宋_GB2312" w:hAnsi="仿宋_GB2312" w:eastAsia="仿宋_GB2312"/>
          <w:b w:val="0"/>
          <w:sz w:val="32"/>
        </w:rPr>
        <w:t>16.其他支出(类)其他支出(款)其他支出(项):支出决算数为330.11万元，比上年决算减少4,200.40万元，下降92.71%,主要原因是：本年减少阿图什市阿扎克镇抗旱应急调水工程项目资金。</w:t>
      </w:r>
    </w:p>
    <w:p w14:paraId="236C4834">
      <w:pPr>
        <w:spacing w:line="640" w:lineRule="exact"/>
        <w:ind w:firstLine="640"/>
        <w:jc w:val="both"/>
        <w:outlineLvl w:val="2"/>
      </w:pPr>
      <w:r>
        <w:rPr>
          <w:rFonts w:ascii="黑体" w:hAnsi="黑体" w:eastAsia="黑体"/>
          <w:sz w:val="32"/>
        </w:rPr>
        <w:t>六、一般公共预算财政拨款基本支出决算情况说明</w:t>
      </w:r>
    </w:p>
    <w:p w14:paraId="6B9EB53D">
      <w:pPr>
        <w:spacing w:line="580" w:lineRule="exact"/>
        <w:ind w:firstLine="640"/>
        <w:jc w:val="both"/>
      </w:pPr>
      <w:r>
        <w:rPr>
          <w:rFonts w:ascii="仿宋_GB2312" w:hAnsi="仿宋_GB2312" w:eastAsia="仿宋_GB2312"/>
          <w:b w:val="0"/>
          <w:sz w:val="32"/>
        </w:rPr>
        <w:t>2024年度一般公共预算财政拨款基本支出109.63万元，其中：</w:t>
      </w:r>
      <w:r>
        <w:rPr>
          <w:rFonts w:ascii="仿宋_GB2312" w:hAnsi="仿宋_GB2312" w:eastAsia="仿宋_GB2312"/>
          <w:b/>
          <w:sz w:val="32"/>
        </w:rPr>
        <w:t>人员经费109.63万元，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14:paraId="704956E2">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16632D8A">
      <w:pPr>
        <w:spacing w:line="640" w:lineRule="exact"/>
        <w:ind w:firstLine="640"/>
        <w:jc w:val="both"/>
        <w:outlineLvl w:val="2"/>
      </w:pPr>
      <w:r>
        <w:rPr>
          <w:rFonts w:ascii="黑体" w:hAnsi="黑体" w:eastAsia="黑体"/>
          <w:sz w:val="32"/>
        </w:rPr>
        <w:t>七、政府性基金预算财政拨款收入支出决算情况说明</w:t>
      </w:r>
    </w:p>
    <w:p w14:paraId="18385D5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7C2C72C">
      <w:pPr>
        <w:spacing w:line="640" w:lineRule="exact"/>
        <w:ind w:firstLine="640"/>
        <w:jc w:val="both"/>
        <w:outlineLvl w:val="2"/>
      </w:pPr>
      <w:r>
        <w:rPr>
          <w:rFonts w:ascii="黑体" w:hAnsi="黑体" w:eastAsia="黑体"/>
          <w:sz w:val="32"/>
        </w:rPr>
        <w:t>八、国有资本经营预算财政拨款收入支出决算情况说明</w:t>
      </w:r>
    </w:p>
    <w:p w14:paraId="36014F0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48B2843">
      <w:pPr>
        <w:spacing w:line="640" w:lineRule="exact"/>
        <w:ind w:firstLine="640"/>
        <w:jc w:val="both"/>
        <w:outlineLvl w:val="2"/>
      </w:pPr>
      <w:r>
        <w:rPr>
          <w:rFonts w:ascii="黑体" w:hAnsi="黑体" w:eastAsia="黑体"/>
          <w:sz w:val="32"/>
        </w:rPr>
        <w:t>九、财政拨款“三公”经费支出决算情况说明</w:t>
      </w:r>
    </w:p>
    <w:p w14:paraId="592A8B5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9479D81">
      <w:pPr>
        <w:spacing w:line="580" w:lineRule="exact"/>
        <w:ind w:firstLine="640"/>
        <w:jc w:val="both"/>
      </w:pPr>
      <w:r>
        <w:rPr>
          <w:rFonts w:ascii="仿宋_GB2312" w:hAnsi="仿宋_GB2312" w:eastAsia="仿宋_GB2312"/>
          <w:b/>
          <w:sz w:val="32"/>
        </w:rPr>
        <w:t>具体情况如下：</w:t>
      </w:r>
    </w:p>
    <w:p w14:paraId="5CCBEFC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EA832D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w:t>
      </w:r>
      <w:r>
        <w:rPr>
          <w:rFonts w:hint="eastAsia" w:ascii="仿宋_GB2312" w:hAnsi="仿宋_GB2312" w:eastAsia="仿宋_GB2312"/>
          <w:b w:val="0"/>
          <w:sz w:val="32"/>
          <w:lang w:val="en-US" w:eastAsia="zh-CN"/>
        </w:rPr>
        <w:t>预算未安排公务用车运行维护费</w:t>
      </w:r>
      <w:r>
        <w:rPr>
          <w:rFonts w:ascii="仿宋_GB2312" w:hAnsi="仿宋_GB2312" w:eastAsia="仿宋_GB2312"/>
          <w:b w:val="0"/>
          <w:sz w:val="32"/>
        </w:rPr>
        <w:t>。</w:t>
      </w:r>
    </w:p>
    <w:p w14:paraId="1E6C4F4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5510AB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B3B121A">
      <w:pPr>
        <w:spacing w:line="640" w:lineRule="exact"/>
        <w:ind w:firstLine="640"/>
        <w:jc w:val="both"/>
        <w:outlineLvl w:val="2"/>
      </w:pPr>
      <w:r>
        <w:rPr>
          <w:rFonts w:ascii="黑体" w:hAnsi="黑体" w:eastAsia="黑体"/>
          <w:sz w:val="32"/>
        </w:rPr>
        <w:t>十、其他重要事项的情况说明</w:t>
      </w:r>
    </w:p>
    <w:p w14:paraId="29DCF191">
      <w:pPr>
        <w:spacing w:line="640" w:lineRule="exact"/>
        <w:ind w:firstLine="640"/>
        <w:jc w:val="both"/>
        <w:outlineLvl w:val="3"/>
      </w:pPr>
      <w:r>
        <w:rPr>
          <w:rFonts w:ascii="楷体_GB2312" w:hAnsi="楷体_GB2312" w:eastAsia="楷体_GB2312"/>
          <w:b/>
          <w:sz w:val="32"/>
        </w:rPr>
        <w:t>（一）机关运行经费及公用经费支出情况</w:t>
      </w:r>
    </w:p>
    <w:p w14:paraId="2E932364">
      <w:pPr>
        <w:spacing w:line="580" w:lineRule="exact"/>
        <w:ind w:firstLine="640"/>
        <w:jc w:val="both"/>
      </w:pPr>
      <w:r>
        <w:rPr>
          <w:rFonts w:ascii="仿宋_GB2312" w:hAnsi="仿宋_GB2312" w:eastAsia="仿宋_GB2312"/>
          <w:b w:val="0"/>
          <w:sz w:val="32"/>
        </w:rPr>
        <w:t>2024年度阿图什市水管站（事业单位）公用经费支出0.00万元，比上年增加0.00万元，增长0.00%，主要原因是：2023年与2024年均未安排公用经费支出。</w:t>
      </w:r>
    </w:p>
    <w:p w14:paraId="753D3FD0">
      <w:pPr>
        <w:spacing w:line="640" w:lineRule="exact"/>
        <w:ind w:firstLine="640"/>
        <w:jc w:val="both"/>
        <w:outlineLvl w:val="3"/>
      </w:pPr>
      <w:r>
        <w:rPr>
          <w:rFonts w:ascii="楷体_GB2312" w:hAnsi="楷体_GB2312" w:eastAsia="楷体_GB2312"/>
          <w:b/>
          <w:sz w:val="32"/>
        </w:rPr>
        <w:t>（二）政府采购情况</w:t>
      </w:r>
    </w:p>
    <w:p w14:paraId="712D1C50">
      <w:pPr>
        <w:spacing w:line="580" w:lineRule="exact"/>
        <w:ind w:firstLine="640"/>
        <w:jc w:val="both"/>
      </w:pPr>
      <w:r>
        <w:rPr>
          <w:rFonts w:ascii="仿宋_GB2312" w:hAnsi="仿宋_GB2312" w:eastAsia="仿宋_GB2312"/>
          <w:b w:val="0"/>
          <w:sz w:val="32"/>
        </w:rPr>
        <w:t>2024年度政府采购支出总额367.84万元，其中：政府采购货物支出9.17万元、政府采购工程支出0.00万元、政府采购服务支出358.67万元。</w:t>
      </w:r>
    </w:p>
    <w:p w14:paraId="06BF7456">
      <w:pPr>
        <w:spacing w:line="580" w:lineRule="exact"/>
        <w:ind w:firstLine="640"/>
        <w:jc w:val="both"/>
      </w:pPr>
      <w:r>
        <w:rPr>
          <w:rFonts w:ascii="仿宋_GB2312" w:hAnsi="仿宋_GB2312" w:eastAsia="仿宋_GB2312"/>
          <w:b w:val="0"/>
          <w:sz w:val="32"/>
        </w:rPr>
        <w:t>授予中小企业合同金额17.88万元，占政府采购支出总额的4.86%，其中：授予小微企业合同金额17.04万元，占政府采购支出总额的4.63%。</w:t>
      </w:r>
    </w:p>
    <w:p w14:paraId="39714A70">
      <w:pPr>
        <w:spacing w:line="640" w:lineRule="exact"/>
        <w:ind w:firstLine="640"/>
        <w:jc w:val="both"/>
        <w:outlineLvl w:val="3"/>
      </w:pPr>
      <w:r>
        <w:rPr>
          <w:rFonts w:ascii="楷体_GB2312" w:hAnsi="楷体_GB2312" w:eastAsia="楷体_GB2312"/>
          <w:b/>
          <w:sz w:val="32"/>
        </w:rPr>
        <w:t>（三）国有资产占用情况说明</w:t>
      </w:r>
    </w:p>
    <w:p w14:paraId="707B4FE2">
      <w:pPr>
        <w:spacing w:line="580" w:lineRule="exact"/>
        <w:ind w:firstLine="640"/>
        <w:jc w:val="both"/>
      </w:pPr>
      <w:r>
        <w:rPr>
          <w:rFonts w:ascii="仿宋_GB2312" w:hAnsi="仿宋_GB2312" w:eastAsia="仿宋_GB2312"/>
          <w:b w:val="0"/>
          <w:sz w:val="32"/>
        </w:rPr>
        <w:t>截至2024年12月31日，房屋835.00平方米，价值26.66万元。车辆1辆，价值22.99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699DABD4">
      <w:pPr>
        <w:spacing w:line="640" w:lineRule="exact"/>
        <w:ind w:firstLine="640"/>
        <w:jc w:val="both"/>
        <w:outlineLvl w:val="2"/>
      </w:pPr>
      <w:r>
        <w:rPr>
          <w:rFonts w:ascii="黑体" w:hAnsi="黑体" w:eastAsia="黑体"/>
          <w:sz w:val="32"/>
        </w:rPr>
        <w:t>十一、预算绩效的情况说明</w:t>
      </w:r>
    </w:p>
    <w:p w14:paraId="3F94042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12,076.05万元，实际执行总额12,071.96万元；预算绩效评价项目2个，全年预算数552.23万元，全年执行数549.29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预算编制工作，认真做好预算的编制。全面编制预算项目，优先保障固定性的、相对刚性的费用支出项目，尽量压缩变动性的、有控制空间的费用项目，进一步提高预算编制的科学性、严谨性和可控性。健全制度，加强督促。针对项目实施中存在的问题，进一步完善相关制度，加强督促检查，确保质量安全和建设进度；同时及时完善资料。具体附整体支出绩效自评表，项目支出绩效自评表和评价报告。</w:t>
      </w:r>
    </w:p>
    <w:p w14:paraId="47BDC580">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F8D6F11">
        <w:tblPrEx>
          <w:tblCellMar>
            <w:top w:w="0" w:type="dxa"/>
            <w:left w:w="108" w:type="dxa"/>
            <w:bottom w:w="0" w:type="dxa"/>
            <w:right w:w="108" w:type="dxa"/>
          </w:tblCellMar>
        </w:tblPrEx>
        <w:tc>
          <w:tcPr>
            <w:tcW w:w="8840" w:type="dxa"/>
            <w:gridSpan w:val="8"/>
            <w:vAlign w:val="center"/>
          </w:tcPr>
          <w:p w14:paraId="1D9C53AC">
            <w:pPr>
              <w:jc w:val="center"/>
            </w:pPr>
            <w:r>
              <w:rPr>
                <w:rFonts w:ascii="宋体" w:hAnsi="宋体" w:eastAsia="宋体"/>
                <w:sz w:val="24"/>
              </w:rPr>
              <w:t>单位整体支出绩效自评表</w:t>
            </w:r>
          </w:p>
        </w:tc>
      </w:tr>
      <w:tr w14:paraId="6E67DB2A">
        <w:tblPrEx>
          <w:tblCellMar>
            <w:top w:w="0" w:type="dxa"/>
            <w:left w:w="108" w:type="dxa"/>
            <w:bottom w:w="0" w:type="dxa"/>
            <w:right w:w="108" w:type="dxa"/>
          </w:tblCellMar>
        </w:tblPrEx>
        <w:tc>
          <w:tcPr>
            <w:tcW w:w="8840" w:type="dxa"/>
            <w:gridSpan w:val="8"/>
            <w:vAlign w:val="center"/>
          </w:tcPr>
          <w:p w14:paraId="29BC3D12">
            <w:pPr>
              <w:jc w:val="center"/>
            </w:pPr>
            <w:r>
              <w:rPr>
                <w:rFonts w:ascii="宋体" w:hAnsi="宋体" w:eastAsia="宋体"/>
                <w:sz w:val="24"/>
              </w:rPr>
              <w:t>（2024年度）</w:t>
            </w:r>
          </w:p>
        </w:tc>
      </w:tr>
      <w:tr w14:paraId="35FFFAE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A8857F">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F24FC8">
            <w:pPr>
              <w:jc w:val="center"/>
            </w:pPr>
            <w:r>
              <w:rPr>
                <w:rFonts w:ascii="宋体" w:hAnsi="宋体" w:eastAsia="宋体"/>
                <w:sz w:val="16"/>
              </w:rPr>
              <w:t>阿图什市水管站</w:t>
            </w:r>
          </w:p>
        </w:tc>
      </w:tr>
      <w:tr w14:paraId="6E9113A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14B1B5">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617E3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215C7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052928">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655228">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4F1EC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9041C0">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FC3BDB">
            <w:pPr>
              <w:jc w:val="center"/>
            </w:pPr>
            <w:r>
              <w:rPr>
                <w:rFonts w:ascii="宋体" w:hAnsi="宋体" w:eastAsia="宋体"/>
                <w:sz w:val="16"/>
              </w:rPr>
              <w:t>得分</w:t>
            </w:r>
          </w:p>
        </w:tc>
      </w:tr>
      <w:tr w14:paraId="745DC99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73FEB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1E3A50">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E36A25">
            <w:pPr>
              <w:jc w:val="center"/>
            </w:pPr>
            <w:r>
              <w:rPr>
                <w:rFonts w:ascii="宋体" w:hAnsi="宋体" w:eastAsia="宋体"/>
                <w:sz w:val="16"/>
              </w:rPr>
              <w:t>635.96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D5640F">
            <w:pPr>
              <w:jc w:val="center"/>
            </w:pPr>
            <w:r>
              <w:rPr>
                <w:rFonts w:ascii="宋体" w:hAnsi="宋体" w:eastAsia="宋体"/>
                <w:sz w:val="16"/>
              </w:rPr>
              <w:t>12,076.05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01B152">
            <w:pPr>
              <w:jc w:val="center"/>
            </w:pPr>
            <w:r>
              <w:rPr>
                <w:rFonts w:ascii="宋体" w:hAnsi="宋体" w:eastAsia="宋体"/>
                <w:sz w:val="16"/>
              </w:rPr>
              <w:t>12,071.96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F78B3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E94C8A">
            <w:pPr>
              <w:jc w:val="center"/>
            </w:pPr>
            <w:r>
              <w:rPr>
                <w:rFonts w:ascii="宋体" w:hAnsi="宋体" w:eastAsia="宋体"/>
                <w:sz w:val="16"/>
              </w:rPr>
              <w:t>99.97%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B5111D">
            <w:pPr>
              <w:jc w:val="center"/>
              <w:rPr>
                <w:rFonts w:hint="default" w:eastAsia="宋体"/>
                <w:lang w:val="en-US" w:eastAsia="zh-CN"/>
              </w:rPr>
            </w:pPr>
            <w:r>
              <w:rPr>
                <w:rFonts w:hint="eastAsia" w:ascii="宋体" w:hAnsi="宋体"/>
                <w:sz w:val="16"/>
                <w:lang w:val="en-US" w:eastAsia="zh-CN"/>
              </w:rPr>
              <w:t>9.99</w:t>
            </w:r>
          </w:p>
        </w:tc>
      </w:tr>
      <w:tr w14:paraId="41E0D7C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9896B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52343D">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AC063B">
            <w:pPr>
              <w:jc w:val="center"/>
            </w:pPr>
            <w:r>
              <w:rPr>
                <w:rFonts w:ascii="宋体" w:hAnsi="宋体" w:eastAsia="宋体"/>
                <w:sz w:val="16"/>
              </w:rPr>
              <w:t>552.23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35386E">
            <w:pPr>
              <w:jc w:val="center"/>
            </w:pPr>
            <w:r>
              <w:rPr>
                <w:rFonts w:ascii="宋体" w:hAnsi="宋体" w:eastAsia="宋体"/>
                <w:sz w:val="16"/>
              </w:rPr>
              <w:t>7,371.41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3ECE11">
            <w:pPr>
              <w:jc w:val="center"/>
            </w:pPr>
            <w:r>
              <w:rPr>
                <w:rFonts w:ascii="宋体" w:hAnsi="宋体" w:eastAsia="宋体"/>
                <w:sz w:val="16"/>
              </w:rPr>
              <w:t>7,371.41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59BE3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A1D35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78AFB0">
            <w:pPr>
              <w:jc w:val="center"/>
            </w:pPr>
            <w:r>
              <w:rPr>
                <w:rFonts w:ascii="宋体" w:hAnsi="宋体" w:eastAsia="宋体"/>
                <w:sz w:val="16"/>
              </w:rPr>
              <w:t>—</w:t>
            </w:r>
          </w:p>
        </w:tc>
      </w:tr>
      <w:tr w14:paraId="7ADBF7D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EC2F4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245BEB">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2C2317">
            <w:pPr>
              <w:jc w:val="center"/>
            </w:pPr>
            <w:r>
              <w:rPr>
                <w:rFonts w:ascii="宋体" w:hAnsi="宋体" w:eastAsia="宋体"/>
                <w:sz w:val="16"/>
              </w:rPr>
              <w:t>83.73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B6767A">
            <w:pPr>
              <w:jc w:val="center"/>
            </w:pPr>
            <w:r>
              <w:rPr>
                <w:rFonts w:ascii="宋体" w:hAnsi="宋体" w:eastAsia="宋体"/>
                <w:sz w:val="16"/>
              </w:rPr>
              <w:t>4,704.64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AFB29D">
            <w:pPr>
              <w:jc w:val="center"/>
            </w:pPr>
            <w:r>
              <w:rPr>
                <w:rFonts w:ascii="宋体" w:hAnsi="宋体" w:eastAsia="宋体"/>
                <w:sz w:val="16"/>
              </w:rPr>
              <w:t>4,700.55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C7201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C605A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1330D2">
            <w:pPr>
              <w:jc w:val="center"/>
            </w:pPr>
            <w:r>
              <w:rPr>
                <w:rFonts w:ascii="宋体" w:hAnsi="宋体" w:eastAsia="宋体"/>
                <w:sz w:val="16"/>
              </w:rPr>
              <w:t>—</w:t>
            </w:r>
          </w:p>
        </w:tc>
      </w:tr>
      <w:tr w14:paraId="1F803A5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9AB37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DBEB5C">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A5839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E7F2E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226B6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BFB0C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A915A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BC3341">
            <w:pPr>
              <w:jc w:val="center"/>
            </w:pPr>
            <w:r>
              <w:rPr>
                <w:rFonts w:ascii="宋体" w:hAnsi="宋体" w:eastAsia="宋体"/>
                <w:sz w:val="16"/>
              </w:rPr>
              <w:t>—</w:t>
            </w:r>
          </w:p>
        </w:tc>
      </w:tr>
      <w:tr w14:paraId="4FAF4D4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00471A">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92DDAB">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ACDBC9">
            <w:pPr>
              <w:jc w:val="center"/>
            </w:pPr>
            <w:r>
              <w:rPr>
                <w:rFonts w:ascii="宋体" w:hAnsi="宋体" w:eastAsia="宋体"/>
                <w:sz w:val="16"/>
              </w:rPr>
              <w:t>实际完成情况</w:t>
            </w:r>
          </w:p>
        </w:tc>
      </w:tr>
      <w:tr w14:paraId="70CF00C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0032C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36DFA1F">
            <w:pPr>
              <w:jc w:val="both"/>
            </w:pPr>
            <w:r>
              <w:rPr>
                <w:rFonts w:ascii="宋体" w:hAnsi="宋体" w:eastAsia="宋体"/>
                <w:sz w:val="16"/>
              </w:rPr>
              <w:t>单位基本职能：阿图什市水管站承担着全市农牧区（除格达良外）的灌溉供水、水费征收、农田水利设施运行管理及维修、防汛抗旱、“供水到户推广”、承办市政府和市水利局交办的其他事项。</w:t>
            </w:r>
            <w:r>
              <w:rPr>
                <w:rFonts w:ascii="宋体" w:hAnsi="宋体" w:eastAsia="宋体"/>
                <w:sz w:val="16"/>
              </w:rPr>
              <w:br w:type="textWrapping"/>
            </w:r>
            <w:r>
              <w:rPr>
                <w:rFonts w:ascii="宋体" w:hAnsi="宋体" w:eastAsia="宋体"/>
                <w:sz w:val="16"/>
              </w:rPr>
              <w:t>机构设置及人员配置：无下属预算单位，下设4个科室，编制数190，实有人数168人，在职168人，退休52人。</w:t>
            </w:r>
            <w:r>
              <w:rPr>
                <w:rFonts w:ascii="宋体" w:hAnsi="宋体" w:eastAsia="宋体"/>
                <w:sz w:val="16"/>
              </w:rPr>
              <w:br w:type="textWrapping"/>
            </w:r>
            <w:r>
              <w:rPr>
                <w:rFonts w:ascii="宋体" w:hAnsi="宋体" w:eastAsia="宋体"/>
                <w:sz w:val="16"/>
              </w:rPr>
              <w:t>中长期规划：2023年，在市委和市政府、水利局的正确领导下，我站认真</w:t>
            </w:r>
            <w:r>
              <w:rPr>
                <w:rFonts w:hint="eastAsia" w:ascii="宋体" w:hAnsi="宋体"/>
                <w:sz w:val="16"/>
                <w:lang w:eastAsia="zh-CN"/>
              </w:rPr>
              <w:t>落实</w:t>
            </w:r>
            <w:r>
              <w:rPr>
                <w:rFonts w:ascii="宋体" w:hAnsi="宋体" w:eastAsia="宋体"/>
                <w:sz w:val="16"/>
              </w:rPr>
              <w:t>“节水优先、空间均衡、系统治理、两手发力”治水思路，积极践行“水利工程补短板、水利行业强监管”水利发展改革总基调，统筹推进水生态、水安全、水工程、水资源“四水工程”建设，大力开展</w:t>
            </w:r>
            <w:r>
              <w:rPr>
                <w:rFonts w:hint="eastAsia" w:ascii="宋体" w:hAnsi="宋体"/>
                <w:sz w:val="16"/>
                <w:lang w:eastAsia="zh-CN"/>
              </w:rPr>
              <w:t>党史学习教育</w:t>
            </w:r>
            <w:r>
              <w:rPr>
                <w:rFonts w:ascii="宋体" w:hAnsi="宋体" w:eastAsia="宋体"/>
                <w:sz w:val="16"/>
              </w:rPr>
              <w:t>，促进水利发展迈上新台阶。</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E354264">
            <w:pPr>
              <w:jc w:val="both"/>
            </w:pPr>
            <w:r>
              <w:rPr>
                <w:rFonts w:ascii="宋体" w:hAnsi="宋体" w:eastAsia="宋体"/>
                <w:sz w:val="16"/>
              </w:rPr>
              <w:t>本单位共计支出12071.96万元，用于保障部门在职168人，退休52人的工资福利、各项补助正常发放及部门单位正常运转，单位预算项目根据年初计划均已完成，积极践行“水利工程补短板、水利行业强监管”水利发展改革总基调，统筹推进水生态、水安全、水工程、水资源“四水工程”建设，大力开展</w:t>
            </w:r>
            <w:r>
              <w:rPr>
                <w:rFonts w:hint="eastAsia" w:ascii="宋体" w:hAnsi="宋体"/>
                <w:sz w:val="16"/>
                <w:lang w:eastAsia="zh-CN"/>
              </w:rPr>
              <w:t>党史学习教育</w:t>
            </w:r>
            <w:r>
              <w:rPr>
                <w:rFonts w:ascii="宋体" w:hAnsi="宋体" w:eastAsia="宋体"/>
                <w:sz w:val="16"/>
              </w:rPr>
              <w:t>，促进水利发展迈上新台阶，年度任务中完成开展防汛应急演练次数4次，开展地震应急演练1次，发放补助公益性岗位水管人员103人，农业灌溉用水收费标准0.09元/立方米等目标。</w:t>
            </w:r>
          </w:p>
        </w:tc>
      </w:tr>
      <w:tr w14:paraId="3CF1D48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837ECF">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B9F59B">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74ABE5">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CF3E7A">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9E283F">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458E2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1714FF">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97F9B1">
            <w:pPr>
              <w:jc w:val="center"/>
            </w:pPr>
            <w:r>
              <w:rPr>
                <w:rFonts w:ascii="宋体" w:hAnsi="宋体" w:eastAsia="宋体"/>
                <w:sz w:val="16"/>
              </w:rPr>
              <w:t>得分</w:t>
            </w:r>
          </w:p>
        </w:tc>
      </w:tr>
      <w:tr w14:paraId="255F3DF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029645">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6BCECE">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05808D">
            <w:pPr>
              <w:jc w:val="center"/>
            </w:pPr>
            <w:r>
              <w:rPr>
                <w:rFonts w:ascii="宋体" w:hAnsi="宋体" w:eastAsia="宋体"/>
                <w:sz w:val="16"/>
              </w:rPr>
              <w:t>开展防汛应急演练次数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B57EB3">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62660D">
            <w:pPr>
              <w:jc w:val="center"/>
            </w:pPr>
            <w:r>
              <w:rPr>
                <w:rFonts w:ascii="宋体" w:hAnsi="宋体" w:eastAsia="宋体"/>
                <w:sz w:val="16"/>
              </w:rPr>
              <w:t>2023年总结2024年工作计划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BB6D67">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FC8268">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447876">
            <w:pPr>
              <w:jc w:val="center"/>
            </w:pPr>
            <w:r>
              <w:rPr>
                <w:rFonts w:ascii="宋体" w:hAnsi="宋体" w:eastAsia="宋体"/>
                <w:sz w:val="16"/>
              </w:rPr>
              <w:t>18</w:t>
            </w:r>
          </w:p>
        </w:tc>
      </w:tr>
      <w:tr w14:paraId="56067F5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D18DF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7AC56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0087B0">
            <w:pPr>
              <w:jc w:val="center"/>
            </w:pPr>
            <w:r>
              <w:rPr>
                <w:rFonts w:ascii="宋体" w:hAnsi="宋体" w:eastAsia="宋体"/>
                <w:sz w:val="16"/>
              </w:rPr>
              <w:t>开展地震应急演练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B69956">
            <w:pPr>
              <w:jc w:val="center"/>
            </w:pPr>
            <w:r>
              <w:rPr>
                <w:rFonts w:ascii="宋体" w:hAnsi="宋体" w:eastAsia="宋体"/>
                <w:sz w:val="16"/>
              </w:rPr>
              <w:t>&gt;=1次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E7F68C">
            <w:pPr>
              <w:jc w:val="center"/>
            </w:pPr>
            <w:r>
              <w:rPr>
                <w:rFonts w:ascii="宋体" w:hAnsi="宋体" w:eastAsia="宋体"/>
                <w:sz w:val="16"/>
              </w:rPr>
              <w:t>2023年总结2024年工作计划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EDE4C4">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4243AD">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4525C9">
            <w:pPr>
              <w:jc w:val="center"/>
            </w:pPr>
            <w:r>
              <w:rPr>
                <w:rFonts w:ascii="宋体" w:hAnsi="宋体" w:eastAsia="宋体"/>
                <w:sz w:val="16"/>
              </w:rPr>
              <w:t>18</w:t>
            </w:r>
          </w:p>
        </w:tc>
      </w:tr>
      <w:tr w14:paraId="31C50D0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A6658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7A804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929C53">
            <w:pPr>
              <w:jc w:val="center"/>
            </w:pPr>
            <w:r>
              <w:rPr>
                <w:rFonts w:ascii="宋体" w:hAnsi="宋体" w:eastAsia="宋体"/>
                <w:sz w:val="16"/>
              </w:rPr>
              <w:t>农业灌溉用水收费标准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B871B8">
            <w:pPr>
              <w:jc w:val="center"/>
            </w:pPr>
            <w:r>
              <w:rPr>
                <w:rFonts w:ascii="宋体" w:hAnsi="宋体" w:eastAsia="宋体"/>
                <w:sz w:val="16"/>
              </w:rPr>
              <w:t>&lt;=0.09元/立方米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12C2C9">
            <w:pPr>
              <w:jc w:val="center"/>
            </w:pPr>
            <w:r>
              <w:rPr>
                <w:rFonts w:ascii="宋体" w:hAnsi="宋体" w:eastAsia="宋体"/>
                <w:sz w:val="16"/>
              </w:rPr>
              <w:t>2023年总结2024年工作计划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8A75EC">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BBC0F3">
            <w:pPr>
              <w:jc w:val="center"/>
            </w:pPr>
            <w:r>
              <w:rPr>
                <w:rFonts w:ascii="宋体" w:hAnsi="宋体" w:eastAsia="宋体"/>
                <w:sz w:val="16"/>
              </w:rPr>
              <w:t>0.09元/立方米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E4CF27">
            <w:pPr>
              <w:jc w:val="center"/>
            </w:pPr>
            <w:r>
              <w:rPr>
                <w:rFonts w:ascii="宋体" w:hAnsi="宋体" w:eastAsia="宋体"/>
                <w:sz w:val="16"/>
              </w:rPr>
              <w:t>18</w:t>
            </w:r>
          </w:p>
        </w:tc>
      </w:tr>
      <w:tr w14:paraId="156248B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2E9FD7"/>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19E6D6">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6027FB">
            <w:pPr>
              <w:jc w:val="center"/>
            </w:pPr>
            <w:r>
              <w:rPr>
                <w:rFonts w:ascii="宋体" w:hAnsi="宋体" w:eastAsia="宋体"/>
                <w:sz w:val="16"/>
              </w:rPr>
              <w:t>发放补助公益性岗位水管人员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BBC5F4">
            <w:pPr>
              <w:jc w:val="center"/>
            </w:pPr>
            <w:r>
              <w:rPr>
                <w:rFonts w:ascii="宋体" w:hAnsi="宋体" w:eastAsia="宋体"/>
                <w:sz w:val="16"/>
              </w:rPr>
              <w:t>&gt;=103人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143B44">
            <w:pPr>
              <w:jc w:val="center"/>
            </w:pPr>
            <w:r>
              <w:rPr>
                <w:rFonts w:ascii="宋体" w:hAnsi="宋体" w:eastAsia="宋体"/>
                <w:sz w:val="16"/>
              </w:rPr>
              <w:t>2023年总结2024年工作计划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25060A">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50DB33">
            <w:pPr>
              <w:jc w:val="center"/>
            </w:pPr>
            <w:r>
              <w:rPr>
                <w:rFonts w:ascii="宋体" w:hAnsi="宋体" w:eastAsia="宋体"/>
                <w:sz w:val="16"/>
              </w:rPr>
              <w:t>103人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D1E978">
            <w:pPr>
              <w:jc w:val="center"/>
            </w:pPr>
            <w:r>
              <w:rPr>
                <w:rFonts w:ascii="宋体" w:hAnsi="宋体" w:eastAsia="宋体"/>
                <w:sz w:val="16"/>
              </w:rPr>
              <w:t>18</w:t>
            </w:r>
          </w:p>
        </w:tc>
      </w:tr>
      <w:tr w14:paraId="0B7BE57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858A8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30CA1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B72592">
            <w:pPr>
              <w:jc w:val="center"/>
            </w:pPr>
            <w:r>
              <w:rPr>
                <w:rFonts w:ascii="宋体" w:hAnsi="宋体" w:eastAsia="宋体"/>
                <w:sz w:val="16"/>
              </w:rPr>
              <w:t>防汛减灾及水利工程安全检查工作覆盖率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477E7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D998DC">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83163D">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588FC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7AE677">
            <w:pPr>
              <w:jc w:val="center"/>
            </w:pPr>
            <w:r>
              <w:rPr>
                <w:rFonts w:ascii="宋体" w:hAnsi="宋体" w:eastAsia="宋体"/>
                <w:sz w:val="16"/>
              </w:rPr>
              <w:t>18</w:t>
            </w:r>
          </w:p>
        </w:tc>
      </w:tr>
    </w:tbl>
    <w:p w14:paraId="6FC687D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1B77358">
        <w:tblPrEx>
          <w:tblCellMar>
            <w:top w:w="0" w:type="dxa"/>
            <w:left w:w="108" w:type="dxa"/>
            <w:bottom w:w="0" w:type="dxa"/>
            <w:right w:w="108" w:type="dxa"/>
          </w:tblCellMar>
        </w:tblPrEx>
        <w:tc>
          <w:tcPr>
            <w:tcW w:w="8848" w:type="dxa"/>
            <w:gridSpan w:val="14"/>
            <w:vAlign w:val="center"/>
          </w:tcPr>
          <w:p w14:paraId="0BA570C4">
            <w:pPr>
              <w:jc w:val="center"/>
            </w:pPr>
            <w:r>
              <w:rPr>
                <w:rFonts w:ascii="宋体" w:hAnsi="宋体" w:eastAsia="宋体"/>
                <w:sz w:val="24"/>
              </w:rPr>
              <w:t>项目支出绩效自评表</w:t>
            </w:r>
          </w:p>
        </w:tc>
      </w:tr>
      <w:tr w14:paraId="194D14BE">
        <w:tblPrEx>
          <w:tblCellMar>
            <w:top w:w="0" w:type="dxa"/>
            <w:left w:w="108" w:type="dxa"/>
            <w:bottom w:w="0" w:type="dxa"/>
            <w:right w:w="108" w:type="dxa"/>
          </w:tblCellMar>
        </w:tblPrEx>
        <w:tc>
          <w:tcPr>
            <w:tcW w:w="8848" w:type="dxa"/>
            <w:gridSpan w:val="14"/>
            <w:vAlign w:val="center"/>
          </w:tcPr>
          <w:p w14:paraId="7EDCCEF9">
            <w:pPr>
              <w:jc w:val="center"/>
            </w:pPr>
            <w:r>
              <w:rPr>
                <w:rFonts w:ascii="宋体" w:hAnsi="宋体" w:eastAsia="宋体"/>
                <w:sz w:val="24"/>
              </w:rPr>
              <w:t>(2024年度)</w:t>
            </w:r>
          </w:p>
        </w:tc>
      </w:tr>
      <w:tr w14:paraId="7C058E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1F72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625619">
            <w:pPr>
              <w:jc w:val="center"/>
            </w:pPr>
            <w:r>
              <w:rPr>
                <w:rFonts w:ascii="宋体" w:hAnsi="宋体" w:eastAsia="宋体"/>
                <w:sz w:val="16"/>
              </w:rPr>
              <w:t>2024年中央水利发展资金项目</w:t>
            </w:r>
          </w:p>
        </w:tc>
      </w:tr>
      <w:tr w14:paraId="3E1FBE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A590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9E2C51">
            <w:pPr>
              <w:jc w:val="center"/>
            </w:pPr>
            <w:r>
              <w:rPr>
                <w:rFonts w:ascii="宋体" w:hAnsi="宋体" w:eastAsia="宋体"/>
                <w:sz w:val="16"/>
              </w:rPr>
              <w:t>阿图什市水利局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E315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09B817">
            <w:pPr>
              <w:jc w:val="center"/>
            </w:pPr>
            <w:r>
              <w:rPr>
                <w:rFonts w:ascii="宋体" w:hAnsi="宋体" w:eastAsia="宋体"/>
                <w:sz w:val="16"/>
              </w:rPr>
              <w:t>阿图什市水管站</w:t>
            </w:r>
          </w:p>
        </w:tc>
      </w:tr>
      <w:tr w14:paraId="58B70F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E55EB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2B3C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10FF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F70F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4252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7AEB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15B0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5387D">
            <w:pPr>
              <w:jc w:val="center"/>
            </w:pPr>
            <w:r>
              <w:rPr>
                <w:rFonts w:ascii="宋体" w:hAnsi="宋体" w:eastAsia="宋体"/>
                <w:sz w:val="16"/>
              </w:rPr>
              <w:t>得分</w:t>
            </w:r>
          </w:p>
        </w:tc>
      </w:tr>
      <w:tr w14:paraId="30CC1B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BC9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671A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C56B9">
            <w:pPr>
              <w:jc w:val="center"/>
            </w:pPr>
            <w:r>
              <w:rPr>
                <w:rFonts w:ascii="宋体" w:hAnsi="宋体" w:eastAsia="宋体"/>
                <w:sz w:val="16"/>
              </w:rPr>
              <w:t>201.00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C2210">
            <w:pPr>
              <w:jc w:val="center"/>
            </w:pPr>
            <w:r>
              <w:rPr>
                <w:rFonts w:ascii="宋体" w:hAnsi="宋体" w:eastAsia="宋体"/>
                <w:sz w:val="16"/>
              </w:rPr>
              <w:t>201.00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2F6B9">
            <w:pPr>
              <w:jc w:val="center"/>
            </w:pPr>
            <w:r>
              <w:rPr>
                <w:rFonts w:ascii="宋体" w:hAnsi="宋体" w:eastAsia="宋体"/>
                <w:sz w:val="16"/>
              </w:rPr>
              <w:t>198.06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8AF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3E608">
            <w:pPr>
              <w:jc w:val="center"/>
            </w:pPr>
            <w:r>
              <w:rPr>
                <w:rFonts w:ascii="宋体" w:hAnsi="宋体" w:eastAsia="宋体"/>
                <w:sz w:val="16"/>
              </w:rPr>
              <w:t>98.5%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F4C23">
            <w:pPr>
              <w:jc w:val="center"/>
            </w:pPr>
            <w:r>
              <w:rPr>
                <w:rFonts w:hint="eastAsia" w:ascii="宋体" w:hAnsi="宋体"/>
                <w:sz w:val="16"/>
                <w:lang w:val="en-US" w:eastAsia="zh-CN"/>
              </w:rPr>
              <w:t>9.99</w:t>
            </w:r>
            <w:r>
              <w:rPr>
                <w:rFonts w:ascii="宋体" w:hAnsi="宋体" w:eastAsia="宋体"/>
                <w:sz w:val="16"/>
              </w:rPr>
              <w:t>分</w:t>
            </w:r>
          </w:p>
        </w:tc>
      </w:tr>
      <w:tr w14:paraId="1872E9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A03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E177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A6106">
            <w:pPr>
              <w:jc w:val="center"/>
            </w:pPr>
            <w:r>
              <w:rPr>
                <w:rFonts w:ascii="宋体" w:hAnsi="宋体" w:eastAsia="宋体"/>
                <w:sz w:val="16"/>
              </w:rPr>
              <w:t>201.00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6CC46">
            <w:pPr>
              <w:jc w:val="center"/>
            </w:pPr>
            <w:r>
              <w:rPr>
                <w:rFonts w:ascii="宋体" w:hAnsi="宋体" w:eastAsia="宋体"/>
                <w:sz w:val="16"/>
              </w:rPr>
              <w:t>201.00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9BA7F">
            <w:pPr>
              <w:jc w:val="center"/>
            </w:pPr>
            <w:r>
              <w:rPr>
                <w:rFonts w:ascii="宋体" w:hAnsi="宋体" w:eastAsia="宋体"/>
                <w:sz w:val="16"/>
              </w:rPr>
              <w:t>198.06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1A46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498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C7E30">
            <w:pPr>
              <w:jc w:val="center"/>
            </w:pPr>
            <w:r>
              <w:rPr>
                <w:rFonts w:ascii="宋体" w:hAnsi="宋体" w:eastAsia="宋体"/>
                <w:sz w:val="16"/>
              </w:rPr>
              <w:t>—</w:t>
            </w:r>
          </w:p>
        </w:tc>
      </w:tr>
      <w:tr w14:paraId="0803EF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2E3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F87E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514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0B3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B2D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B86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2F2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A34A4">
            <w:pPr>
              <w:jc w:val="center"/>
            </w:pPr>
            <w:r>
              <w:rPr>
                <w:rFonts w:ascii="宋体" w:hAnsi="宋体" w:eastAsia="宋体"/>
                <w:sz w:val="16"/>
              </w:rPr>
              <w:t>—</w:t>
            </w:r>
          </w:p>
        </w:tc>
      </w:tr>
      <w:tr w14:paraId="1AFC9E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FBFBF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26CDC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5A5042">
            <w:pPr>
              <w:jc w:val="center"/>
            </w:pPr>
            <w:r>
              <w:rPr>
                <w:rFonts w:ascii="宋体" w:hAnsi="宋体" w:eastAsia="宋体"/>
                <w:sz w:val="16"/>
              </w:rPr>
              <w:t>实际完成情况</w:t>
            </w:r>
          </w:p>
        </w:tc>
      </w:tr>
      <w:tr w14:paraId="66442B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E57B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D11141">
            <w:pPr>
              <w:jc w:val="both"/>
            </w:pPr>
            <w:r>
              <w:rPr>
                <w:rFonts w:ascii="宋体" w:hAnsi="宋体" w:eastAsia="宋体"/>
                <w:sz w:val="16"/>
              </w:rPr>
              <w:t>根据《关于提前下达2024年中央水利发展资金预算的通知》克财农</w:t>
            </w:r>
            <w:r>
              <w:rPr>
                <w:rFonts w:hint="eastAsia" w:ascii="宋体" w:hAnsi="宋体"/>
                <w:sz w:val="16"/>
                <w:lang w:eastAsia="zh-CN"/>
              </w:rPr>
              <w:t>〔2023〕20号</w:t>
            </w:r>
            <w:r>
              <w:rPr>
                <w:rFonts w:ascii="宋体" w:hAnsi="宋体" w:eastAsia="宋体"/>
                <w:sz w:val="16"/>
              </w:rPr>
              <w:t>文件，下达资金201万元，用于新增农业水价综合改革面积7.46万亩，小型水库工程维修养护座数6座，小型水库白蚁等害堤动物日常检查座数7座；通过项目的可减轻当地日趋紧张的用水矛盾，保证项目区农田灌溉用水安全，提高了当地的农业生产收成，增加了当地农民收入，促进了项目区国民经济的发展及社会的和谐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2FCA78">
            <w:pPr>
              <w:jc w:val="both"/>
            </w:pPr>
            <w:r>
              <w:rPr>
                <w:rFonts w:ascii="宋体" w:hAnsi="宋体" w:eastAsia="宋体"/>
                <w:sz w:val="16"/>
              </w:rPr>
              <w:t>根据《关于提前下达2024年中央水利发展资金预算的通知》克财农〔2023〕20号文件，下达资金201万元，本项目共计支出198.0636万元，用于实施山洪灾害防治的市数1个，新增农业水价综合改革面积7.46万亩，小型水库工程维修养护座数6座，小型水库白蚁等害堤动物日常检查座数7座；通过实施本项目可减轻当地日趋紧张的用水矛盾，保证项目区农田灌溉用水安全，提高了当地的农业生产收成，增加了当地农民收入，促进了项目区国民经济的发展及社会的和谐发展。</w:t>
            </w:r>
          </w:p>
        </w:tc>
      </w:tr>
      <w:tr w14:paraId="324218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30BD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1BEF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CAC0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5E7C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0108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D35A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EDFC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7449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B72E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1698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3B69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AF3F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10A8E">
            <w:pPr>
              <w:jc w:val="center"/>
            </w:pPr>
            <w:r>
              <w:rPr>
                <w:rFonts w:ascii="宋体" w:hAnsi="宋体" w:eastAsia="宋体"/>
                <w:sz w:val="16"/>
              </w:rPr>
              <w:t>偏差原因分析及改进措施</w:t>
            </w:r>
          </w:p>
        </w:tc>
      </w:tr>
      <w:tr w14:paraId="0DFF01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78D6F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0CA76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57DEC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84357">
            <w:pPr>
              <w:jc w:val="center"/>
            </w:pPr>
            <w:r>
              <w:rPr>
                <w:rFonts w:ascii="宋体" w:hAnsi="宋体" w:eastAsia="宋体"/>
                <w:sz w:val="16"/>
              </w:rPr>
              <w:t>实施山洪灾害防治的市数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BA2F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3DE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41D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2147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C70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B38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7A32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BF48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39056">
            <w:pPr>
              <w:jc w:val="center"/>
            </w:pPr>
          </w:p>
        </w:tc>
      </w:tr>
      <w:tr w14:paraId="0E43D5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B67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203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333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CDCFD">
            <w:pPr>
              <w:jc w:val="center"/>
            </w:pPr>
            <w:r>
              <w:rPr>
                <w:rFonts w:ascii="宋体" w:hAnsi="宋体" w:eastAsia="宋体"/>
                <w:sz w:val="16"/>
              </w:rPr>
              <w:t>新增农业水价综合改革面积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F8EC5">
            <w:pPr>
              <w:jc w:val="center"/>
            </w:pPr>
            <w:r>
              <w:rPr>
                <w:rFonts w:ascii="宋体" w:hAnsi="宋体" w:eastAsia="宋体"/>
                <w:sz w:val="16"/>
              </w:rPr>
              <w:t>&gt;=7.46万亩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6F9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608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34D4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BB0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D15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B2298">
            <w:pPr>
              <w:jc w:val="center"/>
            </w:pPr>
            <w:r>
              <w:rPr>
                <w:rFonts w:ascii="宋体" w:hAnsi="宋体" w:eastAsia="宋体"/>
                <w:sz w:val="16"/>
              </w:rPr>
              <w:t>=7.46万亩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0B2E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2A2FE">
            <w:pPr>
              <w:jc w:val="center"/>
            </w:pPr>
          </w:p>
        </w:tc>
      </w:tr>
      <w:tr w14:paraId="6F3EF9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2E6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2F1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993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B5D61">
            <w:pPr>
              <w:jc w:val="center"/>
            </w:pPr>
            <w:r>
              <w:rPr>
                <w:rFonts w:ascii="宋体" w:hAnsi="宋体" w:eastAsia="宋体"/>
                <w:sz w:val="16"/>
              </w:rPr>
              <w:t>小型水库工程维修养护座数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FF7B6">
            <w:pPr>
              <w:jc w:val="center"/>
            </w:pPr>
            <w:r>
              <w:rPr>
                <w:rFonts w:ascii="宋体" w:hAnsi="宋体" w:eastAsia="宋体"/>
                <w:sz w:val="16"/>
              </w:rPr>
              <w:t>&gt;=6座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1E1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685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7BB6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CA0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1BC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DF380">
            <w:pPr>
              <w:jc w:val="center"/>
            </w:pPr>
            <w:r>
              <w:rPr>
                <w:rFonts w:ascii="宋体" w:hAnsi="宋体" w:eastAsia="宋体"/>
                <w:sz w:val="16"/>
              </w:rPr>
              <w:t>=6座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EDC0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0A4AB">
            <w:pPr>
              <w:jc w:val="center"/>
            </w:pPr>
          </w:p>
        </w:tc>
      </w:tr>
      <w:tr w14:paraId="168785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776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463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98F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74592">
            <w:pPr>
              <w:jc w:val="center"/>
            </w:pPr>
            <w:r>
              <w:rPr>
                <w:rFonts w:ascii="宋体" w:hAnsi="宋体" w:eastAsia="宋体"/>
                <w:sz w:val="16"/>
              </w:rPr>
              <w:t>小型水库白蚁等害堤动物日常检查座数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0E5A1">
            <w:pPr>
              <w:jc w:val="center"/>
            </w:pPr>
            <w:r>
              <w:rPr>
                <w:rFonts w:ascii="宋体" w:hAnsi="宋体" w:eastAsia="宋体"/>
                <w:sz w:val="16"/>
              </w:rPr>
              <w:t>&gt;=7座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484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C91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29D7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E15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E01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0AF3D">
            <w:pPr>
              <w:jc w:val="center"/>
            </w:pPr>
            <w:r>
              <w:rPr>
                <w:rFonts w:ascii="宋体" w:hAnsi="宋体" w:eastAsia="宋体"/>
                <w:sz w:val="16"/>
              </w:rPr>
              <w:t>=7座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B5E8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85803">
            <w:pPr>
              <w:jc w:val="center"/>
            </w:pPr>
          </w:p>
        </w:tc>
      </w:tr>
      <w:tr w14:paraId="383E8C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479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6387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8FDCE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FE5D7">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292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895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9CC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E632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E4D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852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372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497C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4701D">
            <w:pPr>
              <w:jc w:val="center"/>
            </w:pPr>
          </w:p>
        </w:tc>
      </w:tr>
      <w:tr w14:paraId="2931C0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AAA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1D0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0BE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0E50E">
            <w:pPr>
              <w:jc w:val="center"/>
            </w:pPr>
            <w:r>
              <w:rPr>
                <w:rFonts w:ascii="宋体" w:hAnsi="宋体" w:eastAsia="宋体"/>
                <w:sz w:val="16"/>
              </w:rPr>
              <w:t>已建工程是否存在质量问题（是/否）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AEBA5">
            <w:pPr>
              <w:jc w:val="center"/>
            </w:pPr>
            <w:r>
              <w:rPr>
                <w:rFonts w:ascii="宋体" w:hAnsi="宋体" w:eastAsia="宋体"/>
                <w:sz w:val="16"/>
              </w:rPr>
              <w:t>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42F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1D8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BA30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617A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5A0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83BB3">
            <w:pPr>
              <w:jc w:val="center"/>
            </w:pPr>
            <w:r>
              <w:rPr>
                <w:rFonts w:ascii="宋体" w:hAnsi="宋体" w:eastAsia="宋体"/>
                <w:sz w:val="16"/>
              </w:rPr>
              <w:t>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133E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058A2">
            <w:pPr>
              <w:jc w:val="center"/>
            </w:pPr>
          </w:p>
        </w:tc>
      </w:tr>
      <w:tr w14:paraId="15815A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75A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654A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8F588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C461A">
            <w:pPr>
              <w:jc w:val="center"/>
            </w:pPr>
            <w:r>
              <w:rPr>
                <w:rFonts w:ascii="宋体" w:hAnsi="宋体" w:eastAsia="宋体"/>
                <w:sz w:val="16"/>
              </w:rPr>
              <w:t>截至2024年底投资完成比例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7ECC3">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9E2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30F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975B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11C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2CB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DCB5B">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CDD9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35BCC">
            <w:pPr>
              <w:jc w:val="center"/>
            </w:pPr>
          </w:p>
        </w:tc>
      </w:tr>
      <w:tr w14:paraId="40382D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202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FC4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49A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506C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83ADE">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407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8F4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0498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3BF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979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D87AE">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0016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F02C2">
            <w:pPr>
              <w:jc w:val="center"/>
            </w:pPr>
          </w:p>
        </w:tc>
      </w:tr>
      <w:tr w14:paraId="35C939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B0D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0890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46B8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E952C">
            <w:pPr>
              <w:jc w:val="center"/>
            </w:pPr>
            <w:r>
              <w:rPr>
                <w:rFonts w:ascii="宋体" w:hAnsi="宋体" w:eastAsia="宋体"/>
                <w:sz w:val="16"/>
              </w:rPr>
              <w:t>保障农村灌溉工程质量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789E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159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E2A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3C06A">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8C7E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0E92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A612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ED113">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41994">
            <w:pPr>
              <w:jc w:val="center"/>
            </w:pPr>
          </w:p>
        </w:tc>
      </w:tr>
      <w:tr w14:paraId="474184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541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3111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075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A38F5">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8B95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04B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CFD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40D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5B1A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C4D8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FBC8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DBF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6C546">
            <w:pPr>
              <w:jc w:val="center"/>
            </w:pPr>
          </w:p>
        </w:tc>
      </w:tr>
      <w:tr w14:paraId="690D3CE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8C8E3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6F6E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510FD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DBAF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944D561"/>
        </w:tc>
      </w:tr>
    </w:tbl>
    <w:p w14:paraId="7D42801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4356C3E">
        <w:tblPrEx>
          <w:tblCellMar>
            <w:top w:w="0" w:type="dxa"/>
            <w:left w:w="108" w:type="dxa"/>
            <w:bottom w:w="0" w:type="dxa"/>
            <w:right w:w="108" w:type="dxa"/>
          </w:tblCellMar>
        </w:tblPrEx>
        <w:tc>
          <w:tcPr>
            <w:tcW w:w="8848" w:type="dxa"/>
            <w:gridSpan w:val="14"/>
            <w:vAlign w:val="center"/>
          </w:tcPr>
          <w:p w14:paraId="0842FCA9">
            <w:pPr>
              <w:jc w:val="center"/>
            </w:pPr>
            <w:r>
              <w:rPr>
                <w:rFonts w:ascii="宋体" w:hAnsi="宋体" w:eastAsia="宋体"/>
                <w:sz w:val="24"/>
              </w:rPr>
              <w:t>项目支出绩效自评表</w:t>
            </w:r>
          </w:p>
        </w:tc>
      </w:tr>
      <w:tr w14:paraId="3A66628A">
        <w:tblPrEx>
          <w:tblCellMar>
            <w:top w:w="0" w:type="dxa"/>
            <w:left w:w="108" w:type="dxa"/>
            <w:bottom w:w="0" w:type="dxa"/>
            <w:right w:w="108" w:type="dxa"/>
          </w:tblCellMar>
        </w:tblPrEx>
        <w:tc>
          <w:tcPr>
            <w:tcW w:w="8848" w:type="dxa"/>
            <w:gridSpan w:val="14"/>
            <w:vAlign w:val="center"/>
          </w:tcPr>
          <w:p w14:paraId="54DBB780">
            <w:pPr>
              <w:jc w:val="center"/>
            </w:pPr>
            <w:r>
              <w:rPr>
                <w:rFonts w:ascii="宋体" w:hAnsi="宋体" w:eastAsia="宋体"/>
                <w:sz w:val="24"/>
              </w:rPr>
              <w:t>(2024年度)</w:t>
            </w:r>
          </w:p>
        </w:tc>
      </w:tr>
      <w:tr w14:paraId="26DDC6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9C0E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AAAA38">
            <w:pPr>
              <w:jc w:val="center"/>
            </w:pPr>
            <w:r>
              <w:rPr>
                <w:rFonts w:ascii="宋体" w:hAnsi="宋体" w:eastAsia="宋体"/>
                <w:sz w:val="16"/>
              </w:rPr>
              <w:t>2024年自治区水利发展资金项目</w:t>
            </w:r>
          </w:p>
        </w:tc>
      </w:tr>
      <w:tr w14:paraId="4D7CB2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25FE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382108">
            <w:pPr>
              <w:jc w:val="center"/>
            </w:pPr>
            <w:r>
              <w:rPr>
                <w:rFonts w:ascii="宋体" w:hAnsi="宋体" w:eastAsia="宋体"/>
                <w:sz w:val="16"/>
              </w:rPr>
              <w:t>阿图什市水利局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F36A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927B80">
            <w:pPr>
              <w:jc w:val="center"/>
            </w:pPr>
            <w:r>
              <w:rPr>
                <w:rFonts w:ascii="宋体" w:hAnsi="宋体" w:eastAsia="宋体"/>
                <w:sz w:val="16"/>
              </w:rPr>
              <w:t>阿图什市水管站</w:t>
            </w:r>
          </w:p>
        </w:tc>
      </w:tr>
      <w:tr w14:paraId="7C420F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E5653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756D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54F9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6661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7CB9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AAC9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80E3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BA69A">
            <w:pPr>
              <w:jc w:val="center"/>
            </w:pPr>
            <w:r>
              <w:rPr>
                <w:rFonts w:ascii="宋体" w:hAnsi="宋体" w:eastAsia="宋体"/>
                <w:sz w:val="16"/>
              </w:rPr>
              <w:t>得分</w:t>
            </w:r>
          </w:p>
        </w:tc>
      </w:tr>
      <w:tr w14:paraId="0FD77E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F7A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61CB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2C2A3">
            <w:pPr>
              <w:jc w:val="center"/>
            </w:pPr>
            <w:r>
              <w:rPr>
                <w:rFonts w:ascii="宋体" w:hAnsi="宋体" w:eastAsia="宋体"/>
                <w:sz w:val="16"/>
              </w:rPr>
              <w:t>351.23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968AB">
            <w:pPr>
              <w:jc w:val="center"/>
            </w:pPr>
            <w:r>
              <w:rPr>
                <w:rFonts w:ascii="宋体" w:hAnsi="宋体" w:eastAsia="宋体"/>
                <w:sz w:val="16"/>
              </w:rPr>
              <w:t>351.23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3DB6D">
            <w:pPr>
              <w:jc w:val="center"/>
            </w:pPr>
            <w:r>
              <w:rPr>
                <w:rFonts w:ascii="宋体" w:hAnsi="宋体" w:eastAsia="宋体"/>
                <w:sz w:val="16"/>
              </w:rPr>
              <w:t>351.23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50D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F5E1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86376">
            <w:pPr>
              <w:jc w:val="center"/>
            </w:pPr>
            <w:r>
              <w:rPr>
                <w:rFonts w:ascii="宋体" w:hAnsi="宋体" w:eastAsia="宋体"/>
                <w:sz w:val="16"/>
              </w:rPr>
              <w:t>10.00分</w:t>
            </w:r>
          </w:p>
        </w:tc>
      </w:tr>
      <w:tr w14:paraId="0E7C18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F24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EE79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952F6">
            <w:pPr>
              <w:jc w:val="center"/>
            </w:pPr>
            <w:r>
              <w:rPr>
                <w:rFonts w:ascii="宋体" w:hAnsi="宋体" w:eastAsia="宋体"/>
                <w:sz w:val="16"/>
              </w:rPr>
              <w:t>351.23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E86C5">
            <w:pPr>
              <w:jc w:val="center"/>
            </w:pPr>
            <w:r>
              <w:rPr>
                <w:rFonts w:ascii="宋体" w:hAnsi="宋体" w:eastAsia="宋体"/>
                <w:sz w:val="16"/>
              </w:rPr>
              <w:t>351.23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11C48">
            <w:pPr>
              <w:jc w:val="center"/>
            </w:pPr>
            <w:r>
              <w:rPr>
                <w:rFonts w:ascii="宋体" w:hAnsi="宋体" w:eastAsia="宋体"/>
                <w:sz w:val="16"/>
              </w:rPr>
              <w:t>351.23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CDBB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829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4A891">
            <w:pPr>
              <w:jc w:val="center"/>
            </w:pPr>
            <w:r>
              <w:rPr>
                <w:rFonts w:ascii="宋体" w:hAnsi="宋体" w:eastAsia="宋体"/>
                <w:sz w:val="16"/>
              </w:rPr>
              <w:t>—</w:t>
            </w:r>
          </w:p>
        </w:tc>
      </w:tr>
      <w:tr w14:paraId="749A87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2C3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EBEC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EFB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916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129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2EEA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482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39E83">
            <w:pPr>
              <w:jc w:val="center"/>
            </w:pPr>
            <w:r>
              <w:rPr>
                <w:rFonts w:ascii="宋体" w:hAnsi="宋体" w:eastAsia="宋体"/>
                <w:sz w:val="16"/>
              </w:rPr>
              <w:t>—</w:t>
            </w:r>
          </w:p>
        </w:tc>
      </w:tr>
      <w:tr w14:paraId="720A5B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28907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34947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D2ACE2">
            <w:pPr>
              <w:jc w:val="center"/>
            </w:pPr>
            <w:r>
              <w:rPr>
                <w:rFonts w:ascii="宋体" w:hAnsi="宋体" w:eastAsia="宋体"/>
                <w:sz w:val="16"/>
              </w:rPr>
              <w:t>实际完成情况</w:t>
            </w:r>
          </w:p>
        </w:tc>
      </w:tr>
      <w:tr w14:paraId="606624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5C8B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A182B8">
            <w:pPr>
              <w:jc w:val="both"/>
            </w:pPr>
            <w:r>
              <w:rPr>
                <w:rFonts w:ascii="宋体" w:hAnsi="宋体" w:eastAsia="宋体"/>
                <w:sz w:val="16"/>
              </w:rPr>
              <w:t>根据《关于提前下达2024年自治区水利发展资金预算的通知》克财农</w:t>
            </w:r>
            <w:r>
              <w:rPr>
                <w:rFonts w:hint="eastAsia" w:ascii="宋体" w:hAnsi="宋体"/>
                <w:sz w:val="16"/>
                <w:lang w:eastAsia="zh-CN"/>
              </w:rPr>
              <w:t>〔2023〕29号</w:t>
            </w:r>
            <w:r>
              <w:rPr>
                <w:rFonts w:ascii="宋体" w:hAnsi="宋体" w:eastAsia="宋体"/>
                <w:sz w:val="16"/>
              </w:rPr>
              <w:t>文件，下达资金351.23万元，用于103名公益人员发放补助；通过项目的实施提高水管单位公益性人员生活水平，保障生活质量，提高当地群众节水意识；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C90A9E">
            <w:pPr>
              <w:jc w:val="both"/>
            </w:pPr>
            <w:r>
              <w:rPr>
                <w:rFonts w:ascii="宋体" w:hAnsi="宋体" w:eastAsia="宋体"/>
                <w:sz w:val="16"/>
              </w:rPr>
              <w:t>根据《关于提前下达2024年自治区水利发展资金预算的通知》克财农〔2023〕29号文件，下达资金351.23万元，本项目共</w:t>
            </w:r>
            <w:bookmarkStart w:id="0" w:name="_GoBack"/>
            <w:bookmarkEnd w:id="0"/>
            <w:r>
              <w:rPr>
                <w:rFonts w:ascii="宋体" w:hAnsi="宋体" w:eastAsia="宋体"/>
                <w:sz w:val="16"/>
              </w:rPr>
              <w:t>计支出351.23万元，用于发放公益性人员103人补助；通过实施本项目提高水管单位公益性人员生活水平，保障生活质量，提高当地群众节水意识；</w:t>
            </w:r>
          </w:p>
        </w:tc>
      </w:tr>
      <w:tr w14:paraId="12614B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2AFC6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12C4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7050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0C1C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BC6F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8656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C9A1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456D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C593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95CF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FA12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5C1F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94A44">
            <w:pPr>
              <w:jc w:val="center"/>
            </w:pPr>
            <w:r>
              <w:rPr>
                <w:rFonts w:ascii="宋体" w:hAnsi="宋体" w:eastAsia="宋体"/>
                <w:sz w:val="16"/>
              </w:rPr>
              <w:t>偏差原因分析及改进措施</w:t>
            </w:r>
          </w:p>
        </w:tc>
      </w:tr>
      <w:tr w14:paraId="6F07B7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6A6D8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9A446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AF81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21F5E">
            <w:pPr>
              <w:jc w:val="center"/>
            </w:pPr>
            <w:r>
              <w:rPr>
                <w:rFonts w:ascii="宋体" w:hAnsi="宋体" w:eastAsia="宋体"/>
                <w:sz w:val="16"/>
              </w:rPr>
              <w:t>公益性人员数量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6A3E9">
            <w:pPr>
              <w:jc w:val="center"/>
            </w:pPr>
            <w:r>
              <w:rPr>
                <w:rFonts w:ascii="宋体" w:hAnsi="宋体" w:eastAsia="宋体"/>
                <w:sz w:val="16"/>
              </w:rPr>
              <w:t>&gt;=103人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750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0EA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9C50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A93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EA5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023EB">
            <w:pPr>
              <w:jc w:val="center"/>
            </w:pPr>
            <w:r>
              <w:rPr>
                <w:rFonts w:ascii="宋体" w:hAnsi="宋体" w:eastAsia="宋体"/>
                <w:sz w:val="16"/>
              </w:rPr>
              <w:t>=103人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9B44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E59FF">
            <w:pPr>
              <w:jc w:val="center"/>
            </w:pPr>
          </w:p>
        </w:tc>
      </w:tr>
      <w:tr w14:paraId="545F88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F9D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B92E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721B1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BA02A">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787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A89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4D5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8317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756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21A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78A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9C21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8EAA2">
            <w:pPr>
              <w:jc w:val="center"/>
            </w:pPr>
          </w:p>
        </w:tc>
      </w:tr>
      <w:tr w14:paraId="2A9DA8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5D5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799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D0B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7CE5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6E8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1D9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9EB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5999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EAC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FC9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4C8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93D8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8CAC6">
            <w:pPr>
              <w:jc w:val="center"/>
            </w:pPr>
          </w:p>
        </w:tc>
      </w:tr>
      <w:tr w14:paraId="5CF1FD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64B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0DBF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6394F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63348">
            <w:pPr>
              <w:jc w:val="center"/>
            </w:pPr>
            <w:r>
              <w:rPr>
                <w:rFonts w:ascii="宋体" w:hAnsi="宋体" w:eastAsia="宋体"/>
                <w:sz w:val="16"/>
              </w:rPr>
              <w:t>补助资金发放及时率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AF2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377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33B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6B1E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E94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069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356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30BD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2A61F">
            <w:pPr>
              <w:jc w:val="center"/>
            </w:pPr>
          </w:p>
        </w:tc>
      </w:tr>
      <w:tr w14:paraId="7A19B9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041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320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34B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CCC1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C8643">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3A7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1CD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9EFF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9D33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429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0CC5D">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917E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7727F">
            <w:pPr>
              <w:jc w:val="center"/>
            </w:pPr>
          </w:p>
        </w:tc>
      </w:tr>
      <w:tr w14:paraId="69D39F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6B0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8AB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E94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F80EF">
            <w:pPr>
              <w:jc w:val="center"/>
            </w:pPr>
            <w:r>
              <w:rPr>
                <w:rFonts w:ascii="宋体" w:hAnsi="宋体" w:eastAsia="宋体"/>
                <w:sz w:val="16"/>
              </w:rPr>
              <w:t>资金下达及时率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251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67A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663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EC5B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111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FBB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C61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4B42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D5364">
            <w:pPr>
              <w:jc w:val="center"/>
            </w:pPr>
          </w:p>
        </w:tc>
      </w:tr>
      <w:tr w14:paraId="6FEAD8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FF5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1157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5B01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01187">
            <w:pPr>
              <w:jc w:val="center"/>
            </w:pPr>
            <w:r>
              <w:rPr>
                <w:rFonts w:ascii="宋体" w:hAnsi="宋体" w:eastAsia="宋体"/>
                <w:sz w:val="16"/>
              </w:rPr>
              <w:t>南疆公益性人员补助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7C8A2">
            <w:pPr>
              <w:jc w:val="center"/>
            </w:pPr>
            <w:r>
              <w:rPr>
                <w:rFonts w:ascii="宋体" w:hAnsi="宋体" w:eastAsia="宋体"/>
                <w:sz w:val="16"/>
              </w:rPr>
              <w:t>&lt;=3.41万元/人/年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AE3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8EA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C578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B25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805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5AF13">
            <w:pPr>
              <w:jc w:val="center"/>
            </w:pPr>
            <w:r>
              <w:rPr>
                <w:rFonts w:ascii="宋体" w:hAnsi="宋体" w:eastAsia="宋体"/>
                <w:sz w:val="16"/>
              </w:rPr>
              <w:t>=3.41万元/人/年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6B62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9981E">
            <w:pPr>
              <w:jc w:val="center"/>
            </w:pPr>
          </w:p>
        </w:tc>
      </w:tr>
      <w:tr w14:paraId="226F9E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7DF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E2CC7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B3A27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2324C">
            <w:pPr>
              <w:jc w:val="center"/>
            </w:pPr>
            <w:r>
              <w:rPr>
                <w:rFonts w:ascii="宋体" w:hAnsi="宋体" w:eastAsia="宋体"/>
                <w:sz w:val="16"/>
              </w:rPr>
              <w:t>保障水管单位公益性人员生活水平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0B0F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F06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97C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44D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B445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036D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DBB8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03F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A8BA0">
            <w:pPr>
              <w:jc w:val="center"/>
            </w:pPr>
          </w:p>
        </w:tc>
      </w:tr>
      <w:tr w14:paraId="638000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D2F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D24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604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FE484">
            <w:pPr>
              <w:jc w:val="center"/>
            </w:pPr>
            <w:r>
              <w:rPr>
                <w:rFonts w:ascii="宋体" w:hAnsi="宋体" w:eastAsia="宋体"/>
                <w:sz w:val="16"/>
              </w:rPr>
              <w:t>提高用水户的节水意识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F0412">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EA5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D61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E93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D4F8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F771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D5B4E">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88E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5872D">
            <w:pPr>
              <w:jc w:val="center"/>
            </w:pPr>
          </w:p>
        </w:tc>
      </w:tr>
      <w:tr w14:paraId="7331B8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9AA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02F1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D15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E9D06">
            <w:pPr>
              <w:jc w:val="center"/>
            </w:pPr>
            <w:r>
              <w:rPr>
                <w:rFonts w:ascii="宋体" w:hAnsi="宋体" w:eastAsia="宋体"/>
                <w:sz w:val="16"/>
              </w:rPr>
              <w:t>公益人员满意度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7C4D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4CB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D54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D2D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CAA8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5114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E6ED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30B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5FA78">
            <w:pPr>
              <w:jc w:val="center"/>
            </w:pPr>
          </w:p>
        </w:tc>
      </w:tr>
      <w:tr w14:paraId="21B3C1A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0AF0E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AE88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37383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0249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74CD2B4"/>
        </w:tc>
      </w:tr>
    </w:tbl>
    <w:p w14:paraId="77F21CB1">
      <w:r>
        <w:br w:type="page"/>
      </w:r>
    </w:p>
    <w:p w14:paraId="2D275E28">
      <w:pPr>
        <w:spacing w:line="640" w:lineRule="exact"/>
        <w:ind w:firstLine="640"/>
        <w:jc w:val="both"/>
        <w:outlineLvl w:val="2"/>
      </w:pPr>
      <w:r>
        <w:rPr>
          <w:rFonts w:ascii="黑体" w:hAnsi="黑体" w:eastAsia="黑体"/>
          <w:sz w:val="32"/>
        </w:rPr>
        <w:t>十二、其他需说明的事项</w:t>
      </w:r>
    </w:p>
    <w:p w14:paraId="1EA36405">
      <w:pPr>
        <w:spacing w:line="580" w:lineRule="exact"/>
        <w:ind w:firstLine="640"/>
        <w:jc w:val="both"/>
      </w:pPr>
      <w:r>
        <w:rPr>
          <w:rFonts w:ascii="仿宋_GB2312" w:hAnsi="仿宋_GB2312" w:eastAsia="仿宋_GB2312"/>
          <w:b w:val="0"/>
          <w:sz w:val="32"/>
        </w:rPr>
        <w:t>本单位无其他需说明的事项。</w:t>
      </w:r>
    </w:p>
    <w:p w14:paraId="5DD70EB9">
      <w:r>
        <w:br w:type="page"/>
      </w:r>
    </w:p>
    <w:p w14:paraId="19175918">
      <w:pPr>
        <w:spacing w:line="240" w:lineRule="auto"/>
        <w:jc w:val="center"/>
        <w:outlineLvl w:val="1"/>
      </w:pPr>
      <w:r>
        <w:rPr>
          <w:rFonts w:ascii="黑体" w:hAnsi="黑体" w:eastAsia="黑体"/>
          <w:sz w:val="32"/>
        </w:rPr>
        <w:t>第三部分 专业名词解释</w:t>
      </w:r>
    </w:p>
    <w:p w14:paraId="0CF639E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9AF5A2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38C051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B42F3F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3BFAB3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AA674B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F078CB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A6375F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946C95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A41D59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70D082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71732E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91F63A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869B28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4E95317">
      <w:r>
        <w:br w:type="page"/>
      </w:r>
    </w:p>
    <w:p w14:paraId="783B3B45">
      <w:pPr>
        <w:spacing w:line="240" w:lineRule="auto"/>
        <w:jc w:val="center"/>
        <w:outlineLvl w:val="1"/>
      </w:pPr>
      <w:r>
        <w:rPr>
          <w:rFonts w:ascii="黑体" w:hAnsi="黑体" w:eastAsia="黑体"/>
          <w:sz w:val="32"/>
        </w:rPr>
        <w:t>第四部分 部门决算报表（见附表）</w:t>
      </w:r>
    </w:p>
    <w:p w14:paraId="724DFF1D">
      <w:pPr>
        <w:spacing w:line="240" w:lineRule="auto"/>
        <w:ind w:firstLine="640"/>
        <w:jc w:val="both"/>
      </w:pPr>
      <w:r>
        <w:rPr>
          <w:rFonts w:ascii="仿宋_GB2312" w:hAnsi="仿宋_GB2312" w:eastAsia="仿宋_GB2312"/>
          <w:b w:val="0"/>
          <w:sz w:val="32"/>
        </w:rPr>
        <w:t>一、《收入支出决算总表》</w:t>
      </w:r>
    </w:p>
    <w:p w14:paraId="636E1A49">
      <w:pPr>
        <w:spacing w:line="240" w:lineRule="auto"/>
        <w:ind w:firstLine="640"/>
        <w:jc w:val="both"/>
      </w:pPr>
      <w:r>
        <w:rPr>
          <w:rFonts w:ascii="仿宋_GB2312" w:hAnsi="仿宋_GB2312" w:eastAsia="仿宋_GB2312"/>
          <w:b w:val="0"/>
          <w:sz w:val="32"/>
        </w:rPr>
        <w:t>二、《收入决算表》</w:t>
      </w:r>
    </w:p>
    <w:p w14:paraId="42D62271">
      <w:pPr>
        <w:spacing w:line="240" w:lineRule="auto"/>
        <w:ind w:firstLine="640"/>
        <w:jc w:val="both"/>
      </w:pPr>
      <w:r>
        <w:rPr>
          <w:rFonts w:ascii="仿宋_GB2312" w:hAnsi="仿宋_GB2312" w:eastAsia="仿宋_GB2312"/>
          <w:b w:val="0"/>
          <w:sz w:val="32"/>
        </w:rPr>
        <w:t>三、《支出决算表》</w:t>
      </w:r>
    </w:p>
    <w:p w14:paraId="7C3DEB3D">
      <w:pPr>
        <w:spacing w:line="240" w:lineRule="auto"/>
        <w:ind w:firstLine="640"/>
        <w:jc w:val="both"/>
      </w:pPr>
      <w:r>
        <w:rPr>
          <w:rFonts w:ascii="仿宋_GB2312" w:hAnsi="仿宋_GB2312" w:eastAsia="仿宋_GB2312"/>
          <w:b w:val="0"/>
          <w:sz w:val="32"/>
        </w:rPr>
        <w:t>四、《财政拨款收入支出决算总表》</w:t>
      </w:r>
    </w:p>
    <w:p w14:paraId="6E49AAA4">
      <w:pPr>
        <w:spacing w:line="240" w:lineRule="auto"/>
        <w:ind w:firstLine="640"/>
        <w:jc w:val="both"/>
      </w:pPr>
      <w:r>
        <w:rPr>
          <w:rFonts w:ascii="仿宋_GB2312" w:hAnsi="仿宋_GB2312" w:eastAsia="仿宋_GB2312"/>
          <w:b w:val="0"/>
          <w:sz w:val="32"/>
        </w:rPr>
        <w:t>五、《一般公共预算财政拨款支出决算表》</w:t>
      </w:r>
    </w:p>
    <w:p w14:paraId="7422C4E5">
      <w:pPr>
        <w:spacing w:line="240" w:lineRule="auto"/>
        <w:ind w:firstLine="640"/>
        <w:jc w:val="both"/>
      </w:pPr>
      <w:r>
        <w:rPr>
          <w:rFonts w:ascii="仿宋_GB2312" w:hAnsi="仿宋_GB2312" w:eastAsia="仿宋_GB2312"/>
          <w:b w:val="0"/>
          <w:sz w:val="32"/>
        </w:rPr>
        <w:t>六、《一般公共预算财政拨款基本支出决算表》</w:t>
      </w:r>
    </w:p>
    <w:p w14:paraId="394F3793">
      <w:pPr>
        <w:spacing w:line="240" w:lineRule="auto"/>
        <w:ind w:firstLine="640"/>
        <w:jc w:val="both"/>
      </w:pPr>
      <w:r>
        <w:rPr>
          <w:rFonts w:ascii="仿宋_GB2312" w:hAnsi="仿宋_GB2312" w:eastAsia="仿宋_GB2312"/>
          <w:b w:val="0"/>
          <w:sz w:val="32"/>
        </w:rPr>
        <w:t>七、《政府性基金预算财政拨款收入支出决算表》</w:t>
      </w:r>
    </w:p>
    <w:p w14:paraId="5D6F9671">
      <w:pPr>
        <w:spacing w:line="240" w:lineRule="auto"/>
        <w:ind w:firstLine="640"/>
        <w:jc w:val="both"/>
      </w:pPr>
      <w:r>
        <w:rPr>
          <w:rFonts w:ascii="仿宋_GB2312" w:hAnsi="仿宋_GB2312" w:eastAsia="仿宋_GB2312"/>
          <w:b w:val="0"/>
          <w:sz w:val="32"/>
        </w:rPr>
        <w:t>八、《国有资本经营预算财政拨款收入支出决算表》</w:t>
      </w:r>
    </w:p>
    <w:p w14:paraId="3958CF32">
      <w:pPr>
        <w:spacing w:line="240" w:lineRule="auto"/>
        <w:ind w:firstLine="640"/>
        <w:jc w:val="both"/>
      </w:pPr>
      <w:r>
        <w:rPr>
          <w:rFonts w:ascii="仿宋_GB2312" w:hAnsi="仿宋_GB2312" w:eastAsia="仿宋_GB2312"/>
          <w:b w:val="0"/>
          <w:sz w:val="32"/>
        </w:rPr>
        <w:t>九、《财政拨款“三公”经费支出决算表》</w:t>
      </w:r>
    </w:p>
    <w:p w14:paraId="1EA9E4A6">
      <w:pPr>
        <w:spacing w:line="240" w:lineRule="auto"/>
        <w:ind w:firstLine="640"/>
        <w:jc w:val="both"/>
      </w:pPr>
    </w:p>
    <w:p w14:paraId="16544AD0">
      <w:pPr>
        <w:spacing w:line="240" w:lineRule="auto"/>
        <w:ind w:firstLine="640"/>
        <w:jc w:val="both"/>
      </w:pPr>
    </w:p>
    <w:p w14:paraId="0CA68C68">
      <w:pPr>
        <w:spacing w:line="240" w:lineRule="auto"/>
        <w:ind w:firstLine="640"/>
        <w:jc w:val="both"/>
      </w:pPr>
    </w:p>
    <w:p w14:paraId="113FD73F">
      <w:pPr>
        <w:spacing w:line="240" w:lineRule="auto"/>
        <w:ind w:firstLine="640"/>
        <w:jc w:val="both"/>
      </w:pPr>
    </w:p>
    <w:p w14:paraId="5D377F3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FC736F5-FC89-4FA3-A90E-FF4C96C5361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CF2AA71-2A64-4D0B-974A-79B41E65EB62}"/>
  </w:font>
  <w:font w:name="仿宋_GB2312">
    <w:panose1 w:val="02010609030101010101"/>
    <w:charset w:val="86"/>
    <w:family w:val="modern"/>
    <w:pitch w:val="default"/>
    <w:sig w:usb0="00000001" w:usb1="080E0000" w:usb2="00000000" w:usb3="00000000" w:csb0="00040000" w:csb1="00000000"/>
    <w:embedRegular r:id="rId3" w:fontKey="{99A0586B-959D-4072-92A5-993C27710E41}"/>
  </w:font>
  <w:font w:name="楷体_GB2312">
    <w:panose1 w:val="02010609030101010101"/>
    <w:charset w:val="86"/>
    <w:family w:val="auto"/>
    <w:pitch w:val="default"/>
    <w:sig w:usb0="00000001" w:usb1="080E0000" w:usb2="00000000" w:usb3="00000000" w:csb0="00040000" w:csb1="00000000"/>
    <w:embedRegular r:id="rId4" w:fontKey="{9F0244F1-DA13-4C7C-BFAD-FD10FCF35E4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0C17FBE"/>
    <w:rsid w:val="021B7195"/>
    <w:rsid w:val="02F73D26"/>
    <w:rsid w:val="034D4FEF"/>
    <w:rsid w:val="043E5B56"/>
    <w:rsid w:val="04414575"/>
    <w:rsid w:val="06792773"/>
    <w:rsid w:val="09A729D8"/>
    <w:rsid w:val="0A3C58E8"/>
    <w:rsid w:val="0A7B4867"/>
    <w:rsid w:val="0B8C3ECC"/>
    <w:rsid w:val="0C3613A3"/>
    <w:rsid w:val="0C7227A7"/>
    <w:rsid w:val="0DCA6EF7"/>
    <w:rsid w:val="0E4B1576"/>
    <w:rsid w:val="0EA04331"/>
    <w:rsid w:val="0F9811B3"/>
    <w:rsid w:val="11E15093"/>
    <w:rsid w:val="120E0809"/>
    <w:rsid w:val="12631F4C"/>
    <w:rsid w:val="19071D6C"/>
    <w:rsid w:val="19B5554D"/>
    <w:rsid w:val="1B8F2D19"/>
    <w:rsid w:val="1C317E4F"/>
    <w:rsid w:val="1C472464"/>
    <w:rsid w:val="1D8228BB"/>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E3E2EC1"/>
    <w:rsid w:val="2FD27414"/>
    <w:rsid w:val="313F1D52"/>
    <w:rsid w:val="318029AB"/>
    <w:rsid w:val="31C63837"/>
    <w:rsid w:val="32277196"/>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4856E5A"/>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961D29"/>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6713</Words>
  <Characters>7831</Characters>
  <Lines>0</Lines>
  <Paragraphs>0</Paragraphs>
  <TotalTime>14</TotalTime>
  <ScaleCrop>false</ScaleCrop>
  <LinksUpToDate>false</LinksUpToDate>
  <CharactersWithSpaces>7839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2026-01-13T03:08:42Z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