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阿图什市农村合作经济发展指导中心2024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为农村合作经济健康发展提供管理保障，土地承包管理，农村集体资产管理，农村经济统计管理，农业产业化建设，农村社会化服务体系建设。</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阿图什市农村合作经济发展指导中心2024年度，实有人数41人，其中：在职人员27人，增加0人；离休人员0人，增加0人；退休人员14人</w:t>
      </w:r>
      <w:r>
        <w:rPr>
          <w:rFonts w:hint="eastAsia" w:ascii="仿宋_GB2312" w:hAnsi="仿宋_GB2312" w:eastAsia="仿宋_GB2312"/>
          <w:sz w:val="32"/>
          <w:lang w:eastAsia="zh-CN"/>
        </w:rPr>
        <w:t>，</w:t>
      </w:r>
      <w:r>
        <w:rPr>
          <w:rFonts w:ascii="仿宋_GB2312" w:hAnsi="仿宋_GB2312" w:eastAsia="仿宋_GB2312"/>
          <w:sz w:val="32"/>
        </w:rPr>
        <w:t>减少1人。</w:t>
      </w:r>
    </w:p>
    <w:p>
      <w:pPr>
        <w:spacing w:line="580" w:lineRule="exact"/>
        <w:ind w:firstLine="640"/>
        <w:jc w:val="both"/>
      </w:pPr>
      <w:r>
        <w:rPr>
          <w:rFonts w:ascii="仿宋_GB2312" w:hAnsi="仿宋_GB2312" w:eastAsia="仿宋_GB2312"/>
          <w:sz w:val="32"/>
        </w:rPr>
        <w:t>阿图什市农村合作经济发展指导中心无下属预算单位，下设3个科室，分别是：综合办公室、农村经济统计室、农业产业发展和合作社指导室。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2024年度收入总计641.91万元，</w:t>
      </w:r>
      <w:r>
        <w:rPr>
          <w:rFonts w:ascii="仿宋_GB2312" w:hAnsi="仿宋_GB2312" w:eastAsia="仿宋_GB2312"/>
          <w:b w:val="0"/>
          <w:sz w:val="32"/>
        </w:rPr>
        <w:t>其中：本年收入合计641.91万元，使用非财政拨款结余（含专用结余）0.00万元，年初结转和结余0.00万元。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2024年度支出总计641.91万元，</w:t>
      </w:r>
      <w:r>
        <w:rPr>
          <w:rFonts w:ascii="仿宋_GB2312" w:hAnsi="仿宋_GB2312" w:eastAsia="仿宋_GB2312"/>
          <w:b w:val="0"/>
          <w:sz w:val="32"/>
        </w:rPr>
        <w:t>其中：本年支出合计641.91万元，结余分配0.00万元，年末结转和结余0.00万元。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收入支出总体与上年相比，减少188.39万元，下降22.69%，主要原因是：本年新型农业经营主题农民专业合作社扶持项目专项经费金额较上年减少，农业生产社会化服务专项经费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本年收入641.91万元，</w:t>
      </w:r>
      <w:r>
        <w:rPr>
          <w:rFonts w:ascii="仿宋_GB2312" w:hAnsi="仿宋_GB2312" w:eastAsia="仿宋_GB2312"/>
          <w:b w:val="0"/>
          <w:sz w:val="32"/>
        </w:rPr>
        <w:t>其中：财政拨款收入641.91万元，占100.00%；上级补助收入0.00万元，占0.00%；事业收入0.00万元，占0.00%；经营收入0.00万元，占0.00%；附属单位上缴收入0.00万元，占0.00%；其他收入0.00万元，占0.00%。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本年支出641.91万元，</w:t>
      </w:r>
      <w:r>
        <w:rPr>
          <w:rFonts w:ascii="仿宋_GB2312" w:hAnsi="仿宋_GB2312" w:eastAsia="仿宋_GB2312"/>
          <w:b w:val="0"/>
          <w:sz w:val="32"/>
        </w:rPr>
        <w:t>其中：基本支出501.52万元，占78.13%；项目支出140.39万元，占21.87%；上缴上级支出0.00万元，占0.00%；经营支出0.00万元，占0.00%；对附属单位补助支出0.00万元，占0.00%。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2024年度财政拨款收入总计641.91万元，</w:t>
      </w:r>
      <w:r>
        <w:rPr>
          <w:rFonts w:ascii="仿宋_GB2312" w:hAnsi="仿宋_GB2312" w:eastAsia="仿宋_GB2312"/>
          <w:b w:val="0"/>
          <w:sz w:val="32"/>
        </w:rPr>
        <w:t>其中：年初财政拨款结转和结余0.00万元，本年财政拨款收入641.91万元。</w:t>
      </w:r>
      <w:r>
        <w:rPr>
          <w:rFonts w:ascii="仿宋_GB2312" w:hAnsi="仿宋_GB2312" w:eastAsia="仿宋_GB2312"/>
          <w:b/>
          <w:sz w:val="32"/>
        </w:rPr>
        <w:t>财政拨款支出总计641.91万元，</w:t>
      </w:r>
      <w:r>
        <w:rPr>
          <w:rFonts w:ascii="仿宋_GB2312" w:hAnsi="仿宋_GB2312" w:eastAsia="仿宋_GB2312"/>
          <w:b w:val="0"/>
          <w:sz w:val="32"/>
        </w:rPr>
        <w:t>其中：年末财政拨款结转和结余0.00万元，本年财政拨款支出641.91万元。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减少188.39万元，下降22.69%，主要原因是：本年新型农业经营主题农民专业合作社扶持项目专项经费金额较上年减少，农业生产社会化服务专项经费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年初预算数491.96万元，决算数641.91万元，预决算差异率30.48%，主要原因是：本年年中追加农民专业合作社扶持专项项目，导致预决算差异。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2024年度一般公共预算财政拨款支出641.91万元，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减少188.39万元，下降22.69%，主要原因是：今年新型农业经营主题农民专业合作社扶持项目专项经费金额比去年少，农业生产社会化服务专项经费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年初预算数491.96万元，决算数641.91万元，预决算差异率30.48%，主要原因是：本年年中追加农民专业合作社扶持专项项目，导致预决算差异。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1.社会保障和就业支出(类)84.25万元</w:t>
      </w:r>
      <w:r>
        <w:rPr>
          <w:rFonts w:hint="eastAsia" w:ascii="仿宋_GB2312" w:hAnsi="仿宋_GB2312" w:eastAsia="仿宋_GB2312"/>
          <w:b w:val="0"/>
          <w:sz w:val="32"/>
          <w:lang w:eastAsia="zh-CN"/>
        </w:rPr>
        <w:t>，</w:t>
      </w:r>
      <w:r>
        <w:rPr>
          <w:rFonts w:ascii="仿宋_GB2312" w:hAnsi="仿宋_GB2312" w:eastAsia="仿宋_GB2312"/>
          <w:b w:val="0"/>
          <w:sz w:val="32"/>
        </w:rPr>
        <w:t>占13.12%。</w:t>
      </w:r>
    </w:p>
    <w:p>
      <w:pPr>
        <w:spacing w:line="580" w:lineRule="exact"/>
        <w:ind w:firstLine="640"/>
        <w:jc w:val="both"/>
      </w:pPr>
      <w:r>
        <w:rPr>
          <w:rFonts w:ascii="仿宋_GB2312" w:hAnsi="仿宋_GB2312" w:eastAsia="仿宋_GB2312"/>
          <w:b w:val="0"/>
          <w:sz w:val="32"/>
        </w:rPr>
        <w:t>2.卫生健康支出(类)19.30万元</w:t>
      </w:r>
      <w:r>
        <w:rPr>
          <w:rFonts w:hint="eastAsia" w:ascii="仿宋_GB2312" w:hAnsi="仿宋_GB2312" w:eastAsia="仿宋_GB2312"/>
          <w:b w:val="0"/>
          <w:sz w:val="32"/>
          <w:lang w:eastAsia="zh-CN"/>
        </w:rPr>
        <w:t>，</w:t>
      </w:r>
      <w:r>
        <w:rPr>
          <w:rFonts w:ascii="仿宋_GB2312" w:hAnsi="仿宋_GB2312" w:eastAsia="仿宋_GB2312"/>
          <w:b w:val="0"/>
          <w:sz w:val="32"/>
        </w:rPr>
        <w:t>占3.01%。</w:t>
      </w:r>
    </w:p>
    <w:p>
      <w:pPr>
        <w:spacing w:line="580" w:lineRule="exact"/>
        <w:ind w:firstLine="640"/>
        <w:jc w:val="both"/>
      </w:pPr>
      <w:r>
        <w:rPr>
          <w:rFonts w:ascii="仿宋_GB2312" w:hAnsi="仿宋_GB2312" w:eastAsia="仿宋_GB2312"/>
          <w:b w:val="0"/>
          <w:sz w:val="32"/>
        </w:rPr>
        <w:t>3.农林水支出(类)501.07万元</w:t>
      </w:r>
      <w:r>
        <w:rPr>
          <w:rFonts w:hint="eastAsia" w:ascii="仿宋_GB2312" w:hAnsi="仿宋_GB2312" w:eastAsia="仿宋_GB2312"/>
          <w:b w:val="0"/>
          <w:sz w:val="32"/>
          <w:lang w:eastAsia="zh-CN"/>
        </w:rPr>
        <w:t>，</w:t>
      </w:r>
      <w:r>
        <w:rPr>
          <w:rFonts w:ascii="仿宋_GB2312" w:hAnsi="仿宋_GB2312" w:eastAsia="仿宋_GB2312"/>
          <w:b w:val="0"/>
          <w:sz w:val="32"/>
        </w:rPr>
        <w:t>占78.06%。</w:t>
      </w:r>
    </w:p>
    <w:p>
      <w:pPr>
        <w:spacing w:line="580" w:lineRule="exact"/>
        <w:ind w:firstLine="640"/>
        <w:jc w:val="both"/>
      </w:pPr>
      <w:r>
        <w:rPr>
          <w:rFonts w:ascii="仿宋_GB2312" w:hAnsi="仿宋_GB2312" w:eastAsia="仿宋_GB2312"/>
          <w:b w:val="0"/>
          <w:sz w:val="32"/>
        </w:rPr>
        <w:t>4.住房保障支出(类)37.29万元</w:t>
      </w:r>
      <w:r>
        <w:rPr>
          <w:rFonts w:hint="eastAsia" w:ascii="仿宋_GB2312" w:hAnsi="仿宋_GB2312" w:eastAsia="仿宋_GB2312"/>
          <w:b w:val="0"/>
          <w:sz w:val="32"/>
          <w:lang w:eastAsia="zh-CN"/>
        </w:rPr>
        <w:t>，</w:t>
      </w:r>
      <w:r>
        <w:rPr>
          <w:rFonts w:ascii="仿宋_GB2312" w:hAnsi="仿宋_GB2312" w:eastAsia="仿宋_GB2312"/>
          <w:b w:val="0"/>
          <w:sz w:val="32"/>
        </w:rPr>
        <w:t>占5.81%。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支出决算数为0.00万元，比上年决算减少2.50万元，下降100.00%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主要原因是：本年减少第一书记项目经费。</w:t>
      </w:r>
    </w:p>
    <w:p>
      <w:pPr>
        <w:spacing w:line="580" w:lineRule="exact"/>
        <w:ind w:firstLine="640"/>
        <w:jc w:val="both"/>
      </w:pPr>
      <w:r>
        <w:rPr>
          <w:rFonts w:ascii="仿宋_GB2312" w:hAnsi="仿宋_GB2312" w:eastAsia="仿宋_GB2312"/>
          <w:b w:val="0"/>
          <w:sz w:val="32"/>
        </w:rPr>
        <w:t>2.社会保障和就业支出(类)行政事业单位养老支出(款)行政单位离退休(项)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支出决算数为19.43万元，比上年决算增加2.94万元，增长17.83%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主要原因是：本年增加退休人员基础绩效奖，退休费支出增加。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支出决算数为45.97万元，比上年决算增加1.70万元，增长3.84%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支出决算数为0.00万元，比上年决算减少27.15万元，下降100.00%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主要原因是：本年功能科目调整，机关事业单位职业年金缴费上年度单独列支，本年调整至主科目列支，导致经费较上年减少。</w:t>
      </w:r>
    </w:p>
    <w:p>
      <w:pPr>
        <w:spacing w:line="580" w:lineRule="exact"/>
        <w:ind w:firstLine="640"/>
        <w:jc w:val="both"/>
      </w:pPr>
      <w:r>
        <w:rPr>
          <w:rFonts w:ascii="仿宋_GB2312" w:hAnsi="仿宋_GB2312" w:eastAsia="仿宋_GB2312"/>
          <w:b w:val="0"/>
          <w:sz w:val="32"/>
        </w:rPr>
        <w:t>5.社会保障和就业支出(类)抚恤(款)</w:t>
      </w:r>
      <w:r>
        <w:rPr>
          <w:rFonts w:hint="eastAsia" w:ascii="仿宋_GB2312" w:hAnsi="仿宋_GB2312" w:eastAsia="仿宋_GB2312"/>
          <w:b w:val="0"/>
          <w:sz w:val="32"/>
          <w:lang w:eastAsia="zh-CN"/>
        </w:rPr>
        <w:t>死亡</w:t>
      </w:r>
      <w:r>
        <w:rPr>
          <w:rFonts w:ascii="仿宋_GB2312" w:hAnsi="仿宋_GB2312" w:eastAsia="仿宋_GB2312"/>
          <w:b w:val="0"/>
          <w:sz w:val="32"/>
        </w:rPr>
        <w:t>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支出决算数为18.85万元，比上年决算增加18.85万元，增长100.00%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w:t>
      </w:r>
      <w:r>
        <w:rPr>
          <w:rFonts w:hint="eastAsia" w:ascii="仿宋_GB2312" w:hAnsi="仿宋_GB2312" w:eastAsia="仿宋_GB2312"/>
          <w:b w:val="0"/>
          <w:sz w:val="32"/>
          <w:lang w:eastAsia="zh-CN"/>
        </w:rPr>
        <w:t>去世</w:t>
      </w:r>
      <w:r>
        <w:rPr>
          <w:rFonts w:ascii="仿宋_GB2312" w:hAnsi="仿宋_GB2312" w:eastAsia="仿宋_GB2312"/>
          <w:b w:val="0"/>
          <w:sz w:val="32"/>
        </w:rPr>
        <w:t>人员，抚恤</w:t>
      </w:r>
      <w:r>
        <w:rPr>
          <w:rFonts w:hint="eastAsia" w:ascii="仿宋_GB2312" w:hAnsi="仿宋_GB2312" w:eastAsia="仿宋_GB2312"/>
          <w:b w:val="0"/>
          <w:sz w:val="32"/>
          <w:lang w:eastAsia="zh-CN"/>
        </w:rPr>
        <w:t>金</w:t>
      </w:r>
      <w:r>
        <w:rPr>
          <w:rFonts w:ascii="仿宋_GB2312" w:hAnsi="仿宋_GB2312" w:eastAsia="仿宋_GB2312"/>
          <w:b w:val="0"/>
          <w:sz w:val="32"/>
        </w:rPr>
        <w:t>支出增加。</w:t>
      </w:r>
    </w:p>
    <w:p>
      <w:pPr>
        <w:spacing w:line="580" w:lineRule="exact"/>
        <w:ind w:firstLine="640"/>
        <w:jc w:val="both"/>
      </w:pPr>
      <w:r>
        <w:rPr>
          <w:rFonts w:ascii="仿宋_GB2312" w:hAnsi="仿宋_GB2312" w:eastAsia="仿宋_GB2312"/>
          <w:b w:val="0"/>
          <w:sz w:val="32"/>
        </w:rPr>
        <w:t>6.卫生健康支出(类)行政事业单位医疗(款)行政单位医疗(项)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支出决算数为19.30万元，比上年决算增加1.66万元，增长9.41%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7.农林水支出(类)农业农村(款)行政运行(项)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支出决算数为360.68万元，比上年决算减少33.97万元，下降8.61%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主要原因是：本年在职人员调入调出，人员职级不同，工资基数不同，导致人员经费较上年减少。</w:t>
      </w:r>
    </w:p>
    <w:p>
      <w:pPr>
        <w:spacing w:line="580" w:lineRule="exact"/>
        <w:ind w:firstLine="640"/>
        <w:jc w:val="both"/>
      </w:pPr>
      <w:r>
        <w:rPr>
          <w:rFonts w:ascii="仿宋_GB2312" w:hAnsi="仿宋_GB2312" w:eastAsia="仿宋_GB2312"/>
          <w:b w:val="0"/>
          <w:sz w:val="32"/>
        </w:rPr>
        <w:t>8.农林水支出(类)农业农村(款)农业生产发展(项)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主要原因是：本年减少农业新型主体能力培训项目。</w:t>
      </w:r>
    </w:p>
    <w:p>
      <w:pPr>
        <w:spacing w:line="580" w:lineRule="exact"/>
        <w:ind w:firstLine="640"/>
        <w:jc w:val="both"/>
      </w:pPr>
      <w:r>
        <w:rPr>
          <w:rFonts w:ascii="仿宋_GB2312" w:hAnsi="仿宋_GB2312" w:eastAsia="仿宋_GB2312"/>
          <w:b w:val="0"/>
          <w:sz w:val="32"/>
        </w:rPr>
        <w:t>9.农林水支出(类)农业农村(款)农村合作经济(项)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支出决算数为140.00万元，比上年决算减少148.00万元，下降51.39%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主要原因是：本年新型农业经营主题农民专业合作社扶持项目专项经费较上年减少，农业生产社会化服务专项经费</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pPr>
        <w:spacing w:line="580" w:lineRule="exact"/>
        <w:ind w:firstLine="640"/>
        <w:jc w:val="both"/>
      </w:pPr>
      <w:r>
        <w:rPr>
          <w:rFonts w:ascii="仿宋_GB2312" w:hAnsi="仿宋_GB2312" w:eastAsia="仿宋_GB2312"/>
          <w:b w:val="0"/>
          <w:sz w:val="32"/>
        </w:rPr>
        <w:t>10.农林水支出(类)其他农林水支出(款)其他农林水支出(项)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支出决算数为0.39万元，比上年决算增加0.39万元，增长100.00%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主要原因是：本年增加为民办实事工作经费。</w:t>
      </w:r>
    </w:p>
    <w:p>
      <w:pPr>
        <w:spacing w:line="580" w:lineRule="exact"/>
        <w:ind w:firstLine="640"/>
        <w:jc w:val="both"/>
      </w:pPr>
      <w:r>
        <w:rPr>
          <w:rFonts w:ascii="仿宋_GB2312" w:hAnsi="仿宋_GB2312" w:eastAsia="仿宋_GB2312"/>
          <w:b w:val="0"/>
          <w:sz w:val="32"/>
        </w:rPr>
        <w:t>11.住房保障支出(类)住房改革支出(款)住房公积金(项)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支出决算数为37.29万元，比上年决算减少0.30万元，下降0.80%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主要原因是：本年在职人员调入调出，人员职级不同，缴费基数不同，导致住房公积金较上年减少。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2024年度一般公共预算财政拨款基本支出501.52万元，其中：</w:t>
      </w:r>
      <w:r>
        <w:rPr>
          <w:rFonts w:ascii="仿宋_GB2312" w:hAnsi="仿宋_GB2312" w:eastAsia="仿宋_GB2312"/>
          <w:b/>
          <w:sz w:val="32"/>
        </w:rPr>
        <w:t>人员经费498.97万元，</w:t>
      </w:r>
      <w:r>
        <w:rPr>
          <w:rFonts w:ascii="仿宋_GB2312" w:hAnsi="仿宋_GB2312" w:eastAsia="仿宋_GB2312"/>
          <w:b w:val="0"/>
          <w:sz w:val="32"/>
        </w:rPr>
        <w:t>包括：基本工资、津贴补贴、奖金、机关事业单位基本养老保险缴费、职工基本医疗保险缴费、其他社会保障缴费、住房公积金、退休费、抚恤金、生活补助。</w:t>
      </w:r>
    </w:p>
    <w:p>
      <w:pPr>
        <w:spacing w:line="580" w:lineRule="exact"/>
        <w:ind w:firstLine="640"/>
        <w:jc w:val="both"/>
      </w:pPr>
      <w:r>
        <w:rPr>
          <w:rFonts w:ascii="仿宋_GB2312" w:hAnsi="仿宋_GB2312" w:eastAsia="仿宋_GB2312"/>
          <w:b/>
          <w:sz w:val="32"/>
        </w:rPr>
        <w:t>公用经费2.55万元，</w:t>
      </w:r>
      <w:r>
        <w:rPr>
          <w:rFonts w:ascii="仿宋_GB2312" w:hAnsi="仿宋_GB2312" w:eastAsia="仿宋_GB2312"/>
          <w:b w:val="0"/>
          <w:sz w:val="32"/>
        </w:rPr>
        <w:t>包括：办公费、印刷费、手续费、水费、邮电费、差旅费、维修（护）费、公务用车运行维护费。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2024年度财政拨款“三公”经费支出1.20万元，</w:t>
      </w:r>
      <w:r>
        <w:rPr>
          <w:rFonts w:ascii="仿宋_GB2312" w:hAnsi="仿宋_GB2312" w:eastAsia="仿宋_GB2312"/>
          <w:b w:val="0"/>
          <w:sz w:val="32"/>
        </w:rPr>
        <w:t>比上年减少1.20万元，下降50.00%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1.20万元，占100.00%，比上年减少1.20万元，下降50.00%，主要原因是：严格落实中央八项规定精神，厉行节约，减少公务用车运行维护费。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1.20万元，其中：公务用车购置费0.00万元，公务用车运行维护费1.20万元。公务用车运行维护费开支内容包括车辆加油费、过路费、维修费。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万元，决算数1.20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1.20万元，决算数1.20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2024年度阿图什市农村合作经济发展指导中心（行政单位和参照公务员法管理事业单位）机关运行经费支出2.55万元，比上年减少25.98万元，下降91.06%，主要原因是：本年办公费减少，导致公用经费减少。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2024年度政府采购支出总额2.55万元，其中：政府采购货物支出1.88万元、政府采购工程支出0.00万元、政府采购服务支出0.67万元。</w:t>
      </w:r>
    </w:p>
    <w:p>
      <w:pPr>
        <w:spacing w:line="580" w:lineRule="exact"/>
        <w:ind w:firstLine="640"/>
        <w:jc w:val="both"/>
      </w:pPr>
      <w:r>
        <w:rPr>
          <w:rFonts w:ascii="仿宋_GB2312" w:hAnsi="仿宋_GB2312" w:eastAsia="仿宋_GB2312"/>
          <w:b w:val="0"/>
          <w:sz w:val="32"/>
        </w:rPr>
        <w:t>授予中小企业合同金额2.10万元，占政府采购支出总额的82.35%，其中：授予小微企业合同金额2.03万元，占政府采购支出总额的79.61%。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2辆，价值22.61万元，其中：副部（省）级及以上领导用车0辆、主要负责人用车0辆、机要通信用车0辆、应急保障用车0辆、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641.91万元，实际执行总额641.91万元；预算绩效评价项目5个，全年预算数253.15万元，全年执行数140.38万元。预算绩效管理取得的成效：为加强预算管理，规范财务行为，已制定各项管理制度，有效保障了高效履行工作职能，加强了制度建设，打牢绩效管理工作基础。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r>
        <w:br w:type="page"/>
      </w:r>
    </w:p>
    <w:tbl>
      <w:tblPr>
        <w:tblStyle w:val="9"/>
        <w:tblW w:w="8840" w:type="dxa"/>
        <w:tblInd w:w="0" w:type="dxa"/>
        <w:tblLayout w:type="fixed"/>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阿图什市农村合作经济发展指导中心</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491.95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491.95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501.91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单位基本职能：承担农村宅基地改革和管理有关工作，指导农民合作经济组织和农业社会化服务体系建设，1.农业新型经营主体； 2.农村集体产权制度改革；3.农村土地承包管理；4.农村经济统计。</w:t>
            </w:r>
            <w:r>
              <w:rPr>
                <w:rFonts w:ascii="宋体" w:hAnsi="宋体" w:eastAsia="宋体"/>
                <w:sz w:val="16"/>
              </w:rPr>
              <w:br w:type="textWrapping"/>
            </w:r>
            <w:r>
              <w:rPr>
                <w:rFonts w:ascii="宋体" w:hAnsi="宋体" w:eastAsia="宋体"/>
                <w:sz w:val="16"/>
              </w:rPr>
              <w:t>机构设置及人员配置：下设5个科室，编制数9，实有人数41人，在职27人，退休14人。</w:t>
            </w:r>
            <w:r>
              <w:rPr>
                <w:rFonts w:ascii="宋体" w:hAnsi="宋体" w:eastAsia="宋体"/>
                <w:sz w:val="16"/>
              </w:rPr>
              <w:br w:type="textWrapping"/>
            </w:r>
            <w:r>
              <w:rPr>
                <w:rFonts w:ascii="宋体" w:hAnsi="宋体" w:eastAsia="宋体"/>
                <w:sz w:val="16"/>
              </w:rPr>
              <w:t>中长期规划：指导农村集体经济组织、农村社会化服务体系和农民专业合作经济组织建设，研究、制定和提出全市农业和农村经济发展的相应政策、建议和措施。</w:t>
            </w:r>
            <w:r>
              <w:rPr>
                <w:rFonts w:ascii="宋体" w:hAnsi="宋体" w:eastAsia="宋体"/>
                <w:sz w:val="16"/>
              </w:rPr>
              <w:br w:type="textWrapping"/>
            </w:r>
            <w:r>
              <w:rPr>
                <w:rFonts w:ascii="宋体" w:hAnsi="宋体" w:eastAsia="宋体"/>
                <w:sz w:val="16"/>
              </w:rPr>
              <w:t>强化领导、精心组织、周密安排，稳步推进农村土地承包经营权和农村产权制度改革工作，为农业增产增效、农村社会稳定、乡村振兴发展和实现现代农业奠定了坚实基础。</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641.91万元，用于保障部门在职27人，退休14人的工资福利、各项补助正常发放及部门单位正常运转，单位预算项目根据年初计划均已完成，强化领导、精心组织、周密安排，稳步推进农村土地承包经营权和农村产权制度改革工作，为农业增产增效、</w:t>
            </w:r>
            <w:bookmarkStart w:id="0" w:name="_GoBack"/>
            <w:bookmarkEnd w:id="0"/>
            <w:r>
              <w:rPr>
                <w:rFonts w:ascii="宋体" w:hAnsi="宋体" w:eastAsia="宋体"/>
                <w:sz w:val="16"/>
              </w:rPr>
              <w:t>乡村振兴发展和实现现代农业奠定了坚实基础，年度任务中完成申报自治区、自治州、市级示范社11家，新型农业生产经营主体培训4期，保障单位预算项目数量3个等目标。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申报自治区、自治州、市级示范社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新型农业生产经营主体培训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保障单位预算项目数量</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项目实施方案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社会化服务任务完成及时率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新型农业生产经营主体培训合格率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8976" w:type="dxa"/>
        <w:tblInd w:w="0" w:type="dxa"/>
        <w:tblLayout w:type="fixed"/>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8976"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76"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“三资”管理工作经费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阿图什市农村合作经济发展指导中心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0.25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0.25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根据《关于印发＜阿图什市贯彻落实自治区、自治州全面推进乡村振兴示范村创建标准任务分解方案＞的通知》（阿党农领发</w:t>
            </w:r>
            <w:r>
              <w:rPr>
                <w:rFonts w:hint="eastAsia" w:ascii="宋体" w:hAnsi="宋体"/>
                <w:sz w:val="16"/>
                <w:lang w:eastAsia="zh-CN"/>
              </w:rPr>
              <w:t>〔2022〕</w:t>
            </w:r>
            <w:r>
              <w:rPr>
                <w:rFonts w:ascii="宋体" w:hAnsi="宋体" w:eastAsia="宋体"/>
                <w:sz w:val="16"/>
              </w:rPr>
              <w:t>1号）文件，安排项目资金3.6万元，用于对88个村集体股份经济合作社工作相关培训四期，通过项目的实施做好壮大村集体经济、农村集体“三资”管理工作、规范运行各村集体股份经济合作社工作、收益分配统计工作、指导</w:t>
            </w:r>
            <w:r>
              <w:rPr>
                <w:rFonts w:hint="eastAsia" w:ascii="宋体" w:hAnsi="宋体"/>
                <w:sz w:val="16"/>
                <w:lang w:eastAsia="zh-CN"/>
              </w:rPr>
              <w:t>建设</w:t>
            </w:r>
            <w:r>
              <w:rPr>
                <w:rFonts w:ascii="宋体" w:hAnsi="宋体" w:eastAsia="宋体"/>
                <w:sz w:val="16"/>
              </w:rPr>
              <w:t>24个村集体股份经济合作社。</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0.254万元，用于开展培训次数4期，购买办公耗材1次，印刷宣传1批；通过实施本项目做好壮大村集体经济、农村集体“三资”管理工作、规范运行各村集体股份经济合作社工作、收益分配统计工作、指导</w:t>
            </w:r>
            <w:r>
              <w:rPr>
                <w:rFonts w:hint="eastAsia" w:ascii="宋体" w:hAnsi="宋体"/>
                <w:sz w:val="16"/>
                <w:lang w:eastAsia="zh-CN"/>
              </w:rPr>
              <w:t>建设</w:t>
            </w:r>
            <w:r>
              <w:rPr>
                <w:rFonts w:ascii="宋体" w:hAnsi="宋体" w:eastAsia="宋体"/>
                <w:sz w:val="16"/>
              </w:rPr>
              <w:t>24个村集体股份经济合作社。</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开展培训次数</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购买办公耗材数量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印刷宣传单数量</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办公用品验收合格率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培训按期完成率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培训费用</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购买办公用品成本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印刷宣传单成本</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规范各村集体股份经济合作社日常工作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参加培训人员满意度</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ascii="宋体" w:hAnsi="宋体" w:eastAsia="宋体"/>
                <w:sz w:val="16"/>
              </w:rP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pPr>
              <w:spacing w:line="360" w:lineRule="auto"/>
              <w:jc w:val="center"/>
              <w:rPr>
                <w:rFonts w:hint="eastAsia" w:ascii="宋体" w:hAnsi="宋体" w:eastAsia="宋体"/>
                <w:sz w:val="16"/>
                <w:lang w:val="en-US" w:eastAsia="zh-CN"/>
              </w:rPr>
            </w:pPr>
            <w:r>
              <w:rPr>
                <w:rFonts w:hint="eastAsia" w:ascii="宋体" w:hAnsi="宋体" w:eastAsia="宋体"/>
                <w:sz w:val="16"/>
                <w:lang w:val="en-US" w:eastAsia="zh-CN"/>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农村土地承包管理工作和纠纷仲裁项目工作经费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阿图什市农村合作经济发展指导中心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0.03</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阿图什市农村土地承包仲裁委员会章程》开展农村土地承包经营权仲裁调解委员会2024年度日常工作，安排项目资金4.3万元，用于印刷宣传单1000张，组织培训次数2期，购买办公用品1批；通过项目的实施，进一步规范农村土地经营权流转引导工作，支持新型农业经营主体，提高农牧民人均收入。</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本项目共计支出0.033万元，用于印刷宣传单1000张，组织培训次数2期，购买办公用品1批；通过实施本项目进一步规范农村土地经营权流转引导工作，支持新型农业经营主体，提高农牧民人均收入。</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开展培训次数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购买办公用品数量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工作质量达标率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组织培训及时率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印刷宣传单成本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购买办公用品成本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原因：项目部分支出资料及手续不完整，导致指标未能完成；措施：下一年度做好项目管理工作，及时收集、完善支出资料，减少偏差。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规范农村土地经营权流转引导工作</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参加培训人员满意度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pPr>
              <w:jc w:val="center"/>
              <w:rPr>
                <w:rFonts w:hint="eastAsia" w:eastAsia="宋体"/>
                <w:lang w:val="en-US" w:eastAsia="zh-CN"/>
              </w:rPr>
            </w:pPr>
            <w:r>
              <w:rPr>
                <w:rFonts w:hint="eastAsia" w:ascii="宋体" w:hAnsi="宋体" w:eastAsia="宋体"/>
                <w:sz w:val="16"/>
                <w:lang w:val="en-US" w:eastAsia="zh-CN"/>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9056" w:type="dxa"/>
        <w:tblInd w:w="0" w:type="dxa"/>
        <w:tblLayout w:type="fixed"/>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9056"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42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新型农业经营主体工作经费</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阿图什市农村合作经济发展指导中心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根据《关于印发＜阿图什市贯彻落实自治区、自治州全面推进乡村振兴示范村创建标准任务分解方案＞的通知》阿党农领发</w:t>
            </w:r>
            <w:r>
              <w:rPr>
                <w:rFonts w:hint="eastAsia" w:ascii="宋体" w:hAnsi="宋体"/>
                <w:sz w:val="16"/>
                <w:lang w:eastAsia="zh-CN"/>
              </w:rPr>
              <w:t>〔2022〕</w:t>
            </w:r>
            <w:r>
              <w:rPr>
                <w:rFonts w:ascii="宋体" w:hAnsi="宋体" w:eastAsia="宋体"/>
                <w:sz w:val="16"/>
              </w:rPr>
              <w:t>1号）文件，安排项目资金5.25万元，用于组织培训次数3期，印刷宣传单数量15000张，购买办公用品数量1批；通过项目的实施，健全农业经营体系，积极创建市级以上示范家庭农场、农民专业合作社，发展壮大面向农户的专业化社会化服务组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0.1万元，用于组织培训次数3期，印刷宣传单数量15000张，购买办公用品数量1批；通过实施本项目健全农业经营体系，积极创建市级以上示范家庭农场、农民专业合作社，发展壮大面向农户的专业化社会化服务组织。</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开展培训次数</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印刷宣传单数量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购买办公用品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工作质量达标率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组织培训及时率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培训费用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印刷宣传单成本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购买办公用品成本</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原因：第三方机构未及时提供支出资料，未能按时支出；措施：及时催收支出资料，加快项目支出进度，减少偏差。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壮大农户专业化社会化服务组织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参加培训人员满意度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5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960" w:type="dxa"/>
            <w:gridSpan w:val="3"/>
            <w:tcBorders>
              <w:top w:val="single" w:color="auto" w:sz="10" w:space="0"/>
              <w:left w:val="single" w:color="auto" w:sz="10" w:space="0"/>
              <w:bottom w:val="single" w:color="auto" w:sz="10" w:space="0"/>
              <w:right w:val="single" w:color="auto" w:sz="10" w:space="0"/>
              <w:insideV w:val="single" w:sz="10" w:space="0"/>
            </w:tcBorders>
          </w:tcPr>
          <w:p>
            <w:r>
              <w:rPr>
                <w:rFonts w:hint="eastAsia" w:ascii="宋体" w:hAnsi="宋体" w:eastAsia="宋体"/>
                <w:sz w:val="16"/>
                <w:lang w:val="en-US" w:eastAsia="zh-CN"/>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992"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tblPrEx>
          <w:tblCellMar>
            <w:top w:w="0" w:type="dxa"/>
            <w:left w:w="108" w:type="dxa"/>
            <w:bottom w:w="0" w:type="dxa"/>
            <w:right w:w="108" w:type="dxa"/>
          </w:tblCellMar>
        </w:tblPrEx>
        <w:tc>
          <w:tcPr>
            <w:tcW w:w="8992"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992"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36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阿图什市2024年农业社会化服务项目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3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阿图什市农村合作经济发展指导中心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根据《关于提前下达2024年中央农业经营主体能力提升资金预算的通知》</w:t>
            </w:r>
            <w:r>
              <w:rPr>
                <w:rFonts w:hint="eastAsia" w:ascii="宋体" w:hAnsi="宋体"/>
                <w:sz w:val="16"/>
                <w:lang w:eastAsia="zh-CN"/>
              </w:rPr>
              <w:t>〔2023〕28号</w:t>
            </w:r>
            <w:r>
              <w:rPr>
                <w:rFonts w:ascii="宋体" w:hAnsi="宋体" w:eastAsia="宋体"/>
                <w:sz w:val="16"/>
              </w:rPr>
              <w:t>文件，下达资金200万元，用于全市计划补助农业社会化服务任务面积2万亩以上。通过实施本项目，聚焦小农户和现代农业发展有机衔接，大力培育社会化服务市场，积极推广规模化、专业化、集约化的现代农业生产方式，为保障粮食和重要农产品稳定安全供给有力支撑。</w:t>
            </w:r>
          </w:p>
        </w:tc>
        <w:tc>
          <w:tcPr>
            <w:tcW w:w="393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农业经营主体能力提升资金预算的通知》〔2023〕28号文件，下达资金200万元，本项目共计支出100万元，用于完成补助农业社会化服务任务面积2.2222万亩，农业社会化服务合作社数量3个；通过实施本项目聚焦小农户和现代农业发展有机衔接，大力培育社会化服务市场，积极推广规模化、专业化、集约化的现代农业生产方式，为保障粮食和重要农产品稳定安全供给有力支撑。</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农业社会化服务任务面积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=2.2222万亩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原因：根据实际情况完成农业社会化服务任务面积，因此指标存在偏差；措施：今后做好项目计划，减少偏差。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农业社会化服务合作社数量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项目年度任务完成质量合格率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原因：按照实际情况进行支付，剩余资金结转至2025年支出；措施：及时支付资金，减少项目实施过程中的偏差。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项目年度任务完成及时率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项目按计划完成时间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农业社会化服务补助标准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原因：按照实际情况进行支付，剩余资金结转至2025年支出；措施：及时支付资金，减少项目实施过程中的偏差。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大力培育社会化服务市场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享受补助对象满意度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2040" w:type="dxa"/>
            <w:gridSpan w:val="3"/>
            <w:tcBorders>
              <w:top w:val="single" w:color="auto" w:sz="10" w:space="0"/>
              <w:left w:val="single" w:color="auto" w:sz="10" w:space="0"/>
              <w:bottom w:val="single" w:color="auto" w:sz="10" w:space="0"/>
              <w:right w:val="single" w:color="auto" w:sz="10" w:space="0"/>
              <w:insideV w:val="single" w:sz="10" w:space="0"/>
            </w:tcBorders>
          </w:tcPr>
          <w:p>
            <w:r>
              <w:rPr>
                <w:rFonts w:hint="eastAsia" w:ascii="宋体" w:hAnsi="宋体" w:eastAsia="宋体"/>
                <w:sz w:val="16"/>
                <w:lang w:val="en-US" w:eastAsia="zh-CN"/>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69.33分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tbl>
      <w:tblPr>
        <w:tblStyle w:val="9"/>
        <w:tblW w:w="8848" w:type="dxa"/>
        <w:tblInd w:w="0" w:type="dxa"/>
        <w:tblLayout w:type="fixed"/>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阿图什市2024年新型农业经营主体生产能力提升项目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阿图什市农村合作经济发展指导中心</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根据《关于提前下达2024年中央农业经营主体能力提升资金预算的通知》克财农</w:t>
            </w:r>
            <w:r>
              <w:rPr>
                <w:rFonts w:hint="eastAsia" w:ascii="宋体" w:hAnsi="宋体"/>
                <w:sz w:val="16"/>
                <w:lang w:eastAsia="zh-CN"/>
              </w:rPr>
              <w:t>〔2023〕28号</w:t>
            </w:r>
            <w:r>
              <w:rPr>
                <w:rFonts w:ascii="宋体" w:hAnsi="宋体" w:eastAsia="宋体"/>
                <w:sz w:val="16"/>
              </w:rPr>
              <w:t>文件、《关于调整2024年中央农业经营主体能力提升资金预算的通知》</w:t>
            </w:r>
            <w:r>
              <w:rPr>
                <w:rFonts w:hint="eastAsia" w:ascii="宋体" w:hAnsi="宋体"/>
                <w:sz w:val="16"/>
                <w:lang w:eastAsia="zh-CN"/>
              </w:rPr>
              <w:t>〔2024〕20号</w:t>
            </w:r>
            <w:r>
              <w:rPr>
                <w:rFonts w:ascii="宋体" w:hAnsi="宋体" w:eastAsia="宋体"/>
                <w:sz w:val="16"/>
              </w:rPr>
              <w:t>文件，下达项目资金40万元，用于扶持自治区级以上的农村合作社示范社数量2个。通过实施本项目，不断提高农民合作社的自身管理能力、技术应用能力、市场竞争能力、服务带动能力和规模经营能力，逐步构建农户家庭经营为基础、合作与联合为纽带、社会化服务为支撑的立体式复合型现代农业经营体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关于提前下达2024年中央农业经营主体能力提升资金预算的通知》克财农〔2023〕28号文件、《关于调整2024年中央农业经营主体能力提升资金预算的通知》〔2024〕20号文件，下达项目资金40万元，本项目共计支出40万元，用于扶持自治区级以上的农村合作社示范社数量2个；通过实施本项目不断提高农民合作社的自身管理能力、技术应用能力、市场竞争能力、服务带动能力和规模经营能力，逐步构建农户家庭经营为基础、合作与联合为纽带、社会化服务为支撑的立体式复合型现代农业经营体系。</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发展</w:t>
            </w:r>
            <w:r>
              <w:rPr>
                <w:rFonts w:ascii="宋体" w:hAnsi="宋体" w:eastAsia="宋体"/>
                <w:sz w:val="16"/>
              </w:rPr>
              <w:t>壮大自治区级以上合作社示范社数量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新型农业经营主体生产设施条件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项目年度任务完工率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发展</w:t>
            </w:r>
            <w:r>
              <w:rPr>
                <w:rFonts w:ascii="宋体" w:hAnsi="宋体" w:eastAsia="宋体"/>
                <w:sz w:val="16"/>
              </w:rPr>
              <w:t>壮大自治区级以上合作社示范社成本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农民合作社发展水平和带动能力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接受扶持合作社满意度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r>
              <w:rPr>
                <w:rFonts w:hint="eastAsia" w:ascii="宋体" w:hAnsi="宋体" w:eastAsia="宋体"/>
                <w:sz w:val="16"/>
                <w:lang w:val="en-US" w:eastAsia="zh-CN"/>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627AF5"/>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5532DA"/>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9529FF"/>
    <w:rsid w:val="5FA17648"/>
    <w:rsid w:val="5FD320BD"/>
    <w:rsid w:val="60DE4D57"/>
    <w:rsid w:val="610947AB"/>
    <w:rsid w:val="613409CB"/>
    <w:rsid w:val="61A46A97"/>
    <w:rsid w:val="62AB55B2"/>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5457</Words>
  <Characters>6287</Characters>
  <Lines>0</Lines>
  <Paragraphs>0</Paragraphs>
  <TotalTime>14</TotalTime>
  <ScaleCrop>false</ScaleCrop>
  <LinksUpToDate>false</LinksUpToDate>
  <CharactersWithSpaces>6296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2025-09-19T11:24:56Z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