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阿图什市阿扎克乡中心学校2024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积极稳妥地推进教育改革，按教育规律办事，不断提高教育质量。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阿图什市阿扎克乡中心学校2024年度，实有人数713人，其中：在职人员540人，减少16人；离休人员0人，增加0人；退休人员173人</w:t>
      </w:r>
      <w:r>
        <w:rPr>
          <w:rFonts w:hint="eastAsia" w:ascii="仿宋_GB2312" w:hAnsi="仿宋_GB2312" w:eastAsia="仿宋_GB2312"/>
          <w:sz w:val="32"/>
          <w:lang w:eastAsia="zh-CN"/>
        </w:rPr>
        <w:t>，</w:t>
      </w:r>
      <w:r>
        <w:rPr>
          <w:rFonts w:ascii="仿宋_GB2312" w:hAnsi="仿宋_GB2312" w:eastAsia="仿宋_GB2312"/>
          <w:sz w:val="32"/>
        </w:rPr>
        <w:t>增加7人。</w:t>
      </w:r>
    </w:p>
    <w:p>
      <w:pPr>
        <w:spacing w:line="580" w:lineRule="exact"/>
        <w:ind w:firstLine="640"/>
        <w:jc w:val="both"/>
      </w:pPr>
      <w:r>
        <w:rPr>
          <w:rFonts w:ascii="仿宋_GB2312" w:hAnsi="仿宋_GB2312" w:eastAsia="仿宋_GB2312"/>
          <w:sz w:val="32"/>
        </w:rPr>
        <w:t>阿图什市阿扎克乡中心学校无下属预算单位，下设5个科室，分别是：办公室、德育室、教务室、财务室、党建室。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2024年度收入总计10,951.66万元，</w:t>
      </w:r>
      <w:r>
        <w:rPr>
          <w:rFonts w:ascii="仿宋_GB2312" w:hAnsi="仿宋_GB2312" w:eastAsia="仿宋_GB2312"/>
          <w:b w:val="0"/>
          <w:sz w:val="32"/>
        </w:rPr>
        <w:t>其中：本年收入合计10,934.72万元，使用非财政拨款结余（含专用结余）0.00万元，年初结转和结余16.94万元。</w:t>
      </w:r>
    </w:p>
    <w:p>
      <w:pPr>
        <w:spacing w:line="580" w:lineRule="exact"/>
        <w:ind w:firstLine="640"/>
        <w:jc w:val="both"/>
      </w:pPr>
      <w:r>
        <w:rPr>
          <w:rFonts w:ascii="仿宋_GB2312" w:hAnsi="仿宋_GB2312" w:eastAsia="仿宋_GB2312"/>
          <w:b/>
          <w:sz w:val="32"/>
        </w:rPr>
        <w:t>2024年度支出总计10,951.66万元，</w:t>
      </w:r>
      <w:r>
        <w:rPr>
          <w:rFonts w:ascii="仿宋_GB2312" w:hAnsi="仿宋_GB2312" w:eastAsia="仿宋_GB2312"/>
          <w:b w:val="0"/>
          <w:sz w:val="32"/>
        </w:rPr>
        <w:t>其中：本年支出合计10,933.70万元，结余分配0.00万元，年末结转和结余17.96万元。</w:t>
      </w:r>
    </w:p>
    <w:p>
      <w:pPr>
        <w:spacing w:line="580" w:lineRule="exact"/>
        <w:ind w:firstLine="640"/>
        <w:jc w:val="both"/>
      </w:pPr>
      <w:r>
        <w:rPr>
          <w:rFonts w:ascii="仿宋_GB2312" w:hAnsi="仿宋_GB2312" w:eastAsia="仿宋_GB2312"/>
          <w:b w:val="0"/>
          <w:sz w:val="32"/>
        </w:rPr>
        <w:t>收入支出总体与上年相比，增加151.98万元，增长1.41%，主要原因是：本年在职人员工资调增，社保、公积金基数调增，人员经费增加；本年度增加学校运转经费（电费）支出。</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本年收入10,934.72万元，</w:t>
      </w:r>
      <w:r>
        <w:rPr>
          <w:rFonts w:ascii="仿宋_GB2312" w:hAnsi="仿宋_GB2312" w:eastAsia="仿宋_GB2312"/>
          <w:b w:val="0"/>
          <w:sz w:val="32"/>
        </w:rPr>
        <w:t>其中：财政拨款收入10,931.52万元，占99.97%；上级补助收入0.00万元，占0.00%；事业收入0.00万元，占0.00%；经营收入0.00万元，占0.00%；附属单位上缴收入0.00万元，占0.00%；其他收入3.20万元，占0.03%。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本年支出10,933.70万元，</w:t>
      </w:r>
      <w:r>
        <w:rPr>
          <w:rFonts w:ascii="仿宋_GB2312" w:hAnsi="仿宋_GB2312" w:eastAsia="仿宋_GB2312"/>
          <w:b w:val="0"/>
          <w:sz w:val="32"/>
        </w:rPr>
        <w:t>其中：基本支出9,425.30万元，占86.20%；项目支出1,508.40万元，占13.80%；上缴上级支出0.00万元，占0.00%；经营支出0.00万元，占0.00%；对附属单位补助支出0.00万元，占0.00%。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2024年度财政拨款收入总计10,931.52万元，</w:t>
      </w:r>
      <w:r>
        <w:rPr>
          <w:rFonts w:ascii="仿宋_GB2312" w:hAnsi="仿宋_GB2312" w:eastAsia="仿宋_GB2312"/>
          <w:b w:val="0"/>
          <w:sz w:val="32"/>
        </w:rPr>
        <w:t>其中：年初财政拨款结转和结余0.00万元，本年财政拨款收入10,931.52万元。</w:t>
      </w:r>
      <w:r>
        <w:rPr>
          <w:rFonts w:ascii="仿宋_GB2312" w:hAnsi="仿宋_GB2312" w:eastAsia="仿宋_GB2312"/>
          <w:b/>
          <w:sz w:val="32"/>
        </w:rPr>
        <w:t>财政拨款支出总计10,931.52万元，</w:t>
      </w:r>
      <w:r>
        <w:rPr>
          <w:rFonts w:ascii="仿宋_GB2312" w:hAnsi="仿宋_GB2312" w:eastAsia="仿宋_GB2312"/>
          <w:b w:val="0"/>
          <w:sz w:val="32"/>
        </w:rPr>
        <w:t>其中：年末财政拨款结转和结余0.00万元，本年财政拨款支出10,931.52万元。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增加187.88万元，增长1.75%，主要原因是：本年在职人员工资调增，社保、公积金基数调增，人员经费增加；本年度增加学校运转经费（电费）支出。</w:t>
      </w:r>
      <w:r>
        <w:rPr>
          <w:rFonts w:ascii="仿宋_GB2312" w:hAnsi="仿宋_GB2312" w:eastAsia="仿宋_GB2312"/>
          <w:b/>
          <w:sz w:val="32"/>
        </w:rPr>
        <w:t>与年初预算相比，</w:t>
      </w:r>
      <w:r>
        <w:rPr>
          <w:rFonts w:ascii="仿宋_GB2312" w:hAnsi="仿宋_GB2312" w:eastAsia="仿宋_GB2312"/>
          <w:b w:val="0"/>
          <w:sz w:val="32"/>
        </w:rPr>
        <w:t>年初预算数9,922.80万元，决算数10,931.52万元，预决算差异率10.17%，主要原因是：年中追加人员工资、社保、公积金基数调增部分资金；追加学校运转经费（电费）支出，导致预决算存在差异。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2024年度一般公共预算财政拨款支出10,928.52万元，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增加187.88万元，增长1.75%，主要原因是：本年在职人员工资调增，社保、公积金基数调增，人员经费增加；本年度增加学校运转经费（电费）支出。</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年初预算数9,918.80万元，决算数10,928.52万元，预决算差异率10.18%，主要原因是：年中追加人员工资、社保、公积金基数调增部分资金；追加学校运转经费（电费）支出，导致预决算存在差异。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1.教育支出(类)10,928.52万元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支出决算数为0.00万元，比上年决算减少87.53万元，下降100.00%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本年科目调整，</w:t>
      </w:r>
      <w:r>
        <w:rPr>
          <w:rFonts w:ascii="仿宋_GB2312" w:hAnsi="仿宋_GB2312" w:eastAsia="仿宋_GB2312"/>
          <w:b w:val="0"/>
          <w:sz w:val="32"/>
        </w:rPr>
        <w:t>未转正的</w:t>
      </w:r>
      <w:r>
        <w:rPr>
          <w:rFonts w:hint="eastAsia" w:ascii="仿宋_GB2312" w:hAnsi="仿宋_GB2312" w:eastAsia="仿宋_GB2312"/>
          <w:b w:val="0"/>
          <w:sz w:val="32"/>
          <w:lang w:val="en-US" w:eastAsia="zh-CN"/>
        </w:rPr>
        <w:t>教师</w:t>
      </w:r>
      <w:r>
        <w:rPr>
          <w:rFonts w:ascii="仿宋_GB2312" w:hAnsi="仿宋_GB2312" w:eastAsia="仿宋_GB2312"/>
          <w:b w:val="0"/>
          <w:sz w:val="32"/>
        </w:rPr>
        <w:t>工资及福利</w:t>
      </w:r>
      <w:r>
        <w:rPr>
          <w:rFonts w:hint="eastAsia" w:ascii="仿宋_GB2312" w:hAnsi="仿宋_GB2312" w:eastAsia="仿宋_GB2312"/>
          <w:b w:val="0"/>
          <w:sz w:val="32"/>
          <w:lang w:val="en-US" w:eastAsia="zh-CN"/>
        </w:rPr>
        <w:t>上年在学前教育科目列支</w:t>
      </w:r>
      <w:r>
        <w:rPr>
          <w:rFonts w:ascii="仿宋_GB2312" w:hAnsi="仿宋_GB2312" w:eastAsia="仿宋_GB2312"/>
          <w:b w:val="0"/>
          <w:sz w:val="32"/>
        </w:rPr>
        <w:t>，本年</w:t>
      </w:r>
      <w:r>
        <w:rPr>
          <w:rFonts w:hint="eastAsia" w:ascii="仿宋_GB2312" w:hAnsi="仿宋_GB2312" w:eastAsia="仿宋_GB2312"/>
          <w:b w:val="0"/>
          <w:sz w:val="32"/>
          <w:lang w:val="en-US" w:eastAsia="zh-CN"/>
        </w:rPr>
        <w:t>调整至小学教育</w:t>
      </w:r>
      <w:r>
        <w:rPr>
          <w:rFonts w:ascii="仿宋_GB2312" w:hAnsi="仿宋_GB2312" w:eastAsia="仿宋_GB2312"/>
          <w:b w:val="0"/>
          <w:sz w:val="32"/>
        </w:rPr>
        <w:t>科目</w:t>
      </w:r>
      <w:r>
        <w:rPr>
          <w:rFonts w:hint="eastAsia" w:ascii="仿宋_GB2312" w:hAnsi="仿宋_GB2312" w:eastAsia="仿宋_GB2312"/>
          <w:b w:val="0"/>
          <w:sz w:val="32"/>
          <w:lang w:val="en-US" w:eastAsia="zh-CN"/>
        </w:rPr>
        <w:t>列支</w:t>
      </w:r>
      <w:r>
        <w:rPr>
          <w:rFonts w:ascii="仿宋_GB2312" w:hAnsi="仿宋_GB2312" w:eastAsia="仿宋_GB2312"/>
          <w:b w:val="0"/>
          <w:sz w:val="32"/>
        </w:rPr>
        <w:t>，导致</w:t>
      </w:r>
      <w:r>
        <w:rPr>
          <w:rFonts w:hint="eastAsia" w:ascii="仿宋_GB2312" w:hAnsi="仿宋_GB2312" w:eastAsia="仿宋_GB2312"/>
          <w:b w:val="0"/>
          <w:sz w:val="32"/>
          <w:lang w:val="en-US" w:eastAsia="zh-CN"/>
        </w:rPr>
        <w:t>相关经费减少。</w:t>
      </w:r>
    </w:p>
    <w:p>
      <w:pPr>
        <w:spacing w:line="580" w:lineRule="exact"/>
        <w:ind w:firstLine="640"/>
        <w:jc w:val="both"/>
      </w:pPr>
      <w:r>
        <w:rPr>
          <w:rFonts w:ascii="仿宋_GB2312" w:hAnsi="仿宋_GB2312" w:eastAsia="仿宋_GB2312"/>
          <w:b w:val="0"/>
          <w:sz w:val="32"/>
        </w:rPr>
        <w:t>2.教育支出(类)普通教育(款)小学教育(项)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支出决算数为10,912.80万元，比上年决算增加1,915.04万元，增长21.28%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w:t>
      </w:r>
      <w:r>
        <w:rPr>
          <w:rFonts w:hint="eastAsia" w:ascii="仿宋_GB2312" w:hAnsi="仿宋_GB2312" w:eastAsia="仿宋_GB2312"/>
          <w:b w:val="0"/>
          <w:sz w:val="32"/>
          <w:lang w:eastAsia="zh-CN"/>
        </w:rPr>
        <w:t>、</w:t>
      </w:r>
      <w:r>
        <w:rPr>
          <w:rFonts w:ascii="仿宋_GB2312" w:hAnsi="仿宋_GB2312" w:eastAsia="仿宋_GB2312"/>
          <w:b w:val="0"/>
          <w:sz w:val="32"/>
        </w:rPr>
        <w:t>未转正的教师工资及福利</w:t>
      </w:r>
      <w:r>
        <w:rPr>
          <w:rFonts w:hint="eastAsia" w:ascii="仿宋_GB2312" w:hAnsi="仿宋_GB2312" w:eastAsia="仿宋_GB2312"/>
          <w:b w:val="0"/>
          <w:sz w:val="32"/>
          <w:lang w:eastAsia="zh-CN"/>
        </w:rPr>
        <w:t>、</w:t>
      </w:r>
      <w:r>
        <w:rPr>
          <w:rFonts w:ascii="仿宋_GB2312" w:hAnsi="仿宋_GB2312" w:eastAsia="仿宋_GB2312"/>
          <w:b w:val="0"/>
          <w:sz w:val="32"/>
        </w:rPr>
        <w:t>住房公积金上年度单独列支，本年调整至主科目列支，导致经费较上年减少。</w:t>
      </w:r>
    </w:p>
    <w:p>
      <w:pPr>
        <w:spacing w:line="580" w:lineRule="exact"/>
        <w:ind w:firstLine="640"/>
        <w:jc w:val="both"/>
      </w:pPr>
      <w:r>
        <w:rPr>
          <w:rFonts w:ascii="仿宋_GB2312" w:hAnsi="仿宋_GB2312" w:eastAsia="仿宋_GB2312"/>
          <w:b w:val="0"/>
          <w:sz w:val="32"/>
        </w:rPr>
        <w:t>3.教育支出(类)普通教育(款)初中教育(项)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支出决算数为0.00万元，比上年决算减少0.09万元，下降100.00%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主要原因是：本年度四中的教师已经转出，本年度无此项支出。</w:t>
      </w:r>
    </w:p>
    <w:p>
      <w:pPr>
        <w:spacing w:line="580" w:lineRule="exact"/>
        <w:ind w:firstLine="640"/>
        <w:jc w:val="both"/>
      </w:pPr>
      <w:r>
        <w:rPr>
          <w:rFonts w:ascii="仿宋_GB2312" w:hAnsi="仿宋_GB2312" w:eastAsia="仿宋_GB2312"/>
          <w:b w:val="0"/>
          <w:sz w:val="32"/>
        </w:rPr>
        <w:t>4.教育支出(类)教育费附加安排的支出(款)其他教育费附加安排的支出(项)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支出决算数为15.73万元，比上年决算增加15.73万元，增长100.00%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主要原因是：本年度增加学校运转经费（电费）支出。</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支出决算数为0.00万元，比上年决算减少844.84万元，下降100.00%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支出决算数为0.00万元，比上年决算减少26.99万元，下降100.00%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7.社会保障和就业支出(类)抚恤(款)死亡抚恤(项)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支出决算数为0.00万元，比上年决算减少64.29万元，下降100.00%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主要原因是：本年无新增</w:t>
      </w:r>
      <w:r>
        <w:rPr>
          <w:rFonts w:hint="eastAsia" w:ascii="仿宋_GB2312" w:hAnsi="仿宋_GB2312" w:eastAsia="仿宋_GB2312"/>
          <w:b w:val="0"/>
          <w:sz w:val="32"/>
          <w:lang w:eastAsia="zh-CN"/>
        </w:rPr>
        <w:t>去世</w:t>
      </w:r>
      <w:r>
        <w:rPr>
          <w:rFonts w:ascii="仿宋_GB2312" w:hAnsi="仿宋_GB2312" w:eastAsia="仿宋_GB2312"/>
          <w:b w:val="0"/>
          <w:sz w:val="32"/>
        </w:rPr>
        <w:t>人员，抚恤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8.住房保障支出(类)住房改革支出(款)住房公积金(项)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支出决算数为0.00万元，比上年决算减少719.14万元，下降100.00%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2024年度一般公共预算财政拨款基本支出9,425.30万元，其中：</w:t>
      </w:r>
      <w:r>
        <w:rPr>
          <w:rFonts w:ascii="仿宋_GB2312" w:hAnsi="仿宋_GB2312" w:eastAsia="仿宋_GB2312"/>
          <w:b/>
          <w:sz w:val="32"/>
        </w:rPr>
        <w:t>人员经费9,425.30万元，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2024年度政府性基金预算财政拨款收入总计3.00万元，</w:t>
      </w:r>
      <w:r>
        <w:rPr>
          <w:rFonts w:ascii="仿宋_GB2312" w:hAnsi="仿宋_GB2312" w:eastAsia="仿宋_GB2312"/>
          <w:b w:val="0"/>
          <w:sz w:val="32"/>
        </w:rPr>
        <w:t>其中：年初结转和结余0.00万元，本年收入3.00万元。</w:t>
      </w:r>
      <w:r>
        <w:rPr>
          <w:rFonts w:ascii="仿宋_GB2312" w:hAnsi="仿宋_GB2312" w:eastAsia="仿宋_GB2312"/>
          <w:b/>
          <w:sz w:val="32"/>
        </w:rPr>
        <w:t>政府性基金预算财政拨款支出总计3.00万元，</w:t>
      </w:r>
      <w:r>
        <w:rPr>
          <w:rFonts w:ascii="仿宋_GB2312" w:hAnsi="仿宋_GB2312" w:eastAsia="仿宋_GB2312"/>
          <w:b w:val="0"/>
          <w:sz w:val="32"/>
        </w:rPr>
        <w:t>其中：年末结转和结余0.00万元，本年支出3.00万元。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增加0.00万元，增长0.00%，主要原因是：乡村学校少年宫项目支出与上年一致无变化。</w:t>
      </w:r>
      <w:r>
        <w:rPr>
          <w:rFonts w:ascii="仿宋_GB2312" w:hAnsi="仿宋_GB2312" w:eastAsia="仿宋_GB2312"/>
          <w:b/>
          <w:sz w:val="32"/>
        </w:rPr>
        <w:t>与年初预算相比，</w:t>
      </w:r>
      <w:r>
        <w:rPr>
          <w:rFonts w:ascii="仿宋_GB2312" w:hAnsi="仿宋_GB2312" w:eastAsia="仿宋_GB2312"/>
          <w:b w:val="0"/>
          <w:sz w:val="32"/>
        </w:rPr>
        <w:t>年初预算数4.00万元，决算数3.00万元，预决算差异率-25.00%，主要原因是：年中调减乡村学校少年宫项目资金支出。</w:t>
      </w:r>
    </w:p>
    <w:p>
      <w:pPr>
        <w:spacing w:line="580" w:lineRule="exact"/>
        <w:ind w:firstLine="640"/>
        <w:jc w:val="both"/>
      </w:pPr>
      <w:r>
        <w:rPr>
          <w:rFonts w:ascii="仿宋_GB2312" w:hAnsi="仿宋_GB2312" w:eastAsia="仿宋_GB2312"/>
          <w:b w:val="0"/>
          <w:sz w:val="32"/>
        </w:rPr>
        <w:t>政府性基金预算财政拨款支出3.00万元。</w:t>
      </w:r>
    </w:p>
    <w:p>
      <w:pPr>
        <w:spacing w:line="580" w:lineRule="exact"/>
        <w:ind w:firstLine="640"/>
        <w:jc w:val="both"/>
      </w:pPr>
      <w:r>
        <w:rPr>
          <w:rFonts w:ascii="仿宋_GB2312" w:hAnsi="仿宋_GB2312" w:eastAsia="仿宋_GB2312"/>
          <w:b w:val="0"/>
          <w:sz w:val="32"/>
        </w:rPr>
        <w:t>1.其他支出(类)彩票公益金安排的支出(款)用于体育事业的彩票公益金支出(项)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支出决算数为3.00万元，比上年决算增加3.00万元，增长100.00%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主要原因是：本年度科目调整，乡村学校少年宫项目上年度在用于教育事业的彩票公益金支出科目列支，本年调整至此科目，支出增加。</w:t>
      </w:r>
    </w:p>
    <w:p>
      <w:pPr>
        <w:spacing w:line="580" w:lineRule="exact"/>
        <w:ind w:firstLine="640"/>
        <w:jc w:val="both"/>
      </w:pPr>
      <w:r>
        <w:rPr>
          <w:rFonts w:ascii="仿宋_GB2312" w:hAnsi="仿宋_GB2312" w:eastAsia="仿宋_GB2312"/>
          <w:b w:val="0"/>
          <w:sz w:val="32"/>
        </w:rPr>
        <w:t>2.其他支出(类)彩票公益金安排的支出(款)用于教育事业的彩票公益金支出(项)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主要原因是：本年度科目调整，乡村学校少年宫项目上年度在此科目列支，本年调整至用于体育事业的彩票公益金支出科目，支出减少。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2024年度阿图什市阿扎克乡中心学校（事业单位）公用经费支出0.00万元，比上年减少10.73万元，下降100.00%，主要原因是：本年减少取暖费支出。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2024年度政府采购支出总额423.37万元，其中：政府采购货物支出230.75万元、政府采购工程支出53.66万元、政府采购服务支出138.96万元。</w:t>
      </w:r>
    </w:p>
    <w:p>
      <w:pPr>
        <w:spacing w:line="580" w:lineRule="exact"/>
        <w:ind w:firstLine="640"/>
        <w:jc w:val="both"/>
      </w:pPr>
      <w:r>
        <w:rPr>
          <w:rFonts w:ascii="仿宋_GB2312" w:hAnsi="仿宋_GB2312" w:eastAsia="仿宋_GB2312"/>
          <w:b w:val="0"/>
          <w:sz w:val="32"/>
        </w:rPr>
        <w:t>授予中小企业合同金额395.69万元，占政府采购支出总额的93.46%，其中：授予小微企业合同金额347.07万元，占政府采购支出总额的81.98%。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40,929.36平方米，价值4,130.81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10,951.66万元，实际执行总额10,933.70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阿图什市阿扎克乡中心学校</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9,625.45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10,951.66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10,933.70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1,450.90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1,450.90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9,625.45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9,500.76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9,482.80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机构设置及人员配置：无下属预算单位，下设4个科室，编制数599，实有人数723人，在职557人，退休166人。</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r>
              <w:rPr>
                <w:rFonts w:ascii="宋体" w:hAnsi="宋体" w:eastAsia="宋体"/>
                <w:sz w:val="16"/>
              </w:rPr>
              <w:br w:type="textWrapping"/>
            </w:r>
            <w:r>
              <w:rPr>
                <w:rFonts w:ascii="宋体" w:hAnsi="宋体" w:eastAsia="宋体"/>
                <w:sz w:val="16"/>
              </w:rPr>
              <w:t xml:space="preserve">  保障单位在职557人，退休166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10933.7万元，用于保障部门在职557人，退休166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15场，教师培训人数215人，保障单位日常</w:t>
            </w:r>
            <w:bookmarkStart w:id="0" w:name="_GoBack"/>
            <w:bookmarkEnd w:id="0"/>
            <w:r>
              <w:rPr>
                <w:rFonts w:ascii="宋体" w:hAnsi="宋体" w:eastAsia="宋体"/>
                <w:sz w:val="16"/>
              </w:rPr>
              <w:t xml:space="preserve">运转期限12个月等目标。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03C1BA-4901-4810-84A2-8F3DAC7824E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1D61C9F5-78C9-4DC1-B513-0DCD5F5018FD}"/>
  </w:font>
  <w:font w:name="仿宋_GB2312">
    <w:panose1 w:val="02010609030101010101"/>
    <w:charset w:val="86"/>
    <w:family w:val="modern"/>
    <w:pitch w:val="default"/>
    <w:sig w:usb0="00000001" w:usb1="080E0000" w:usb2="00000000" w:usb3="00000000" w:csb0="00040000" w:csb1="00000000"/>
    <w:embedRegular r:id="rId3" w:fontKey="{B3041E89-0360-44AC-AF92-7C120E6CEB6A}"/>
  </w:font>
  <w:font w:name="楷体_GB2312">
    <w:altName w:val="楷体"/>
    <w:panose1 w:val="00000000000000000000"/>
    <w:charset w:val="00"/>
    <w:family w:val="auto"/>
    <w:pitch w:val="default"/>
    <w:sig w:usb0="00000000" w:usb1="00000000" w:usb2="00000000" w:usb3="00000000" w:csb0="00000000" w:csb1="00000000"/>
    <w:embedRegular r:id="rId4" w:fontKey="{AF9E1E2E-AAED-4667-8F24-21495078DB8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652EFB"/>
    <w:rsid w:val="38006E2C"/>
    <w:rsid w:val="3914510A"/>
    <w:rsid w:val="3A685141"/>
    <w:rsid w:val="3B1220C9"/>
    <w:rsid w:val="3B9D6010"/>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C94773"/>
    <w:rsid w:val="67D111AB"/>
    <w:rsid w:val="68DB0208"/>
    <w:rsid w:val="68DF36D5"/>
    <w:rsid w:val="69846A0E"/>
    <w:rsid w:val="69AD798C"/>
    <w:rsid w:val="6B68175F"/>
    <w:rsid w:val="6B8B5C99"/>
    <w:rsid w:val="6CA7198F"/>
    <w:rsid w:val="6D8919A8"/>
    <w:rsid w:val="6E0F7A08"/>
    <w:rsid w:val="6E801ABC"/>
    <w:rsid w:val="6FFD5AA4"/>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6709</Words>
  <Characters>7652</Characters>
  <Lines>0</Lines>
  <Paragraphs>0</Paragraphs>
  <TotalTime>11</TotalTime>
  <ScaleCrop>false</ScaleCrop>
  <LinksUpToDate>false</LinksUpToDate>
  <CharactersWithSpaces>7665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