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阿图什市昆山第二小学2024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w:t>
      </w:r>
      <w:r>
        <w:rPr>
          <w:rFonts w:hint="eastAsia" w:ascii="仿宋_GB2312" w:hAnsi="仿宋_GB2312" w:eastAsia="仿宋_GB2312"/>
          <w:sz w:val="32"/>
          <w:lang w:eastAsia="zh-CN"/>
        </w:rPr>
        <w:t>地</w:t>
      </w:r>
      <w:r>
        <w:rPr>
          <w:rFonts w:ascii="仿宋_GB2312" w:hAnsi="仿宋_GB2312" w:eastAsia="仿宋_GB2312"/>
          <w:sz w:val="32"/>
        </w:rPr>
        <w:t>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阿图什市昆山第二小学2024年度，实有人数300人，其中：在职人员182人，增加6人；离休人员0人，增加0人；退休人员118人</w:t>
      </w:r>
      <w:r>
        <w:rPr>
          <w:rFonts w:hint="eastAsia" w:ascii="仿宋_GB2312" w:hAnsi="仿宋_GB2312" w:eastAsia="仿宋_GB2312"/>
          <w:sz w:val="32"/>
          <w:lang w:eastAsia="zh-CN"/>
        </w:rPr>
        <w:t>，</w:t>
      </w:r>
      <w:r>
        <w:rPr>
          <w:rFonts w:ascii="仿宋_GB2312" w:hAnsi="仿宋_GB2312" w:eastAsia="仿宋_GB2312"/>
          <w:sz w:val="32"/>
        </w:rPr>
        <w:t>增加8人。</w:t>
      </w:r>
    </w:p>
    <w:p>
      <w:pPr>
        <w:spacing w:line="580" w:lineRule="exact"/>
        <w:ind w:firstLine="640"/>
        <w:jc w:val="both"/>
      </w:pPr>
      <w:r>
        <w:rPr>
          <w:rFonts w:ascii="仿宋_GB2312" w:hAnsi="仿宋_GB2312" w:eastAsia="仿宋_GB2312"/>
          <w:sz w:val="32"/>
        </w:rPr>
        <w:t>阿图什市昆山第二小学无下属预算单位，下设5个科室，分别是：办公室、党建室、校安办、教导处、财务室。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2024年度收入总计3,385.17万元，</w:t>
      </w:r>
      <w:r>
        <w:rPr>
          <w:rFonts w:ascii="仿宋_GB2312" w:hAnsi="仿宋_GB2312" w:eastAsia="仿宋_GB2312"/>
          <w:b w:val="0"/>
          <w:sz w:val="32"/>
        </w:rPr>
        <w:t>其中：本年收入合计3,371.99万元，使用非财政拨款结余（含专用结余）0.00万元，年初结转和结余13.18万元。</w:t>
      </w:r>
    </w:p>
    <w:p>
      <w:pPr>
        <w:spacing w:line="580" w:lineRule="exact"/>
        <w:ind w:firstLine="640"/>
        <w:jc w:val="both"/>
      </w:pPr>
      <w:r>
        <w:rPr>
          <w:rFonts w:ascii="仿宋_GB2312" w:hAnsi="仿宋_GB2312" w:eastAsia="仿宋_GB2312"/>
          <w:b/>
          <w:sz w:val="32"/>
        </w:rPr>
        <w:t>2024年度支出总计3,385.17万元，</w:t>
      </w:r>
      <w:r>
        <w:rPr>
          <w:rFonts w:ascii="仿宋_GB2312" w:hAnsi="仿宋_GB2312" w:eastAsia="仿宋_GB2312"/>
          <w:b w:val="0"/>
          <w:sz w:val="32"/>
        </w:rPr>
        <w:t>其中：本年支出合计3,370.86万元，结余分配0.00万元，年末结转和结余14.31万元。</w:t>
      </w:r>
    </w:p>
    <w:p>
      <w:pPr>
        <w:spacing w:line="580" w:lineRule="exact"/>
        <w:ind w:firstLine="640"/>
        <w:jc w:val="both"/>
      </w:pPr>
      <w:r>
        <w:rPr>
          <w:rFonts w:ascii="仿宋_GB2312" w:hAnsi="仿宋_GB2312" w:eastAsia="仿宋_GB2312"/>
          <w:b w:val="0"/>
          <w:sz w:val="32"/>
        </w:rPr>
        <w:t>收入支出总体与上年相比，增加195.82万元，增长6.14%，主要原因是：一是本年在职人员增加，在职人员工资调增，社保、公积金基数调增，人员经费增加；二是本年学生人数增加，公用经费项目资金增加。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本年收入3,371.99万元，</w:t>
      </w:r>
      <w:r>
        <w:rPr>
          <w:rFonts w:ascii="仿宋_GB2312" w:hAnsi="仿宋_GB2312" w:eastAsia="仿宋_GB2312"/>
          <w:b w:val="0"/>
          <w:sz w:val="32"/>
        </w:rPr>
        <w:t>其中：财政拨款收入3,369.34万元，占99.92%；上级补助收入0.00万元，占0.00%；事业收入0.00万元，占0.00%；经营收入0.00万元，占0.00%；附属单位上缴收入0.00万元，占0.00%；其他收入2.65万元，占0.08%。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本年支出3,370.86万元，</w:t>
      </w:r>
      <w:r>
        <w:rPr>
          <w:rFonts w:ascii="仿宋_GB2312" w:hAnsi="仿宋_GB2312" w:eastAsia="仿宋_GB2312"/>
          <w:b w:val="0"/>
          <w:sz w:val="32"/>
        </w:rPr>
        <w:t>其中：基本支出3,252.62万元，占96.49%；项目支出118.25万元，占3.51%；上缴上级支出0.00万元，占0.00%；经营支出0.00万元，占0.00%；对附属单位补助支出0.00万元，占0.00%。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2024年度财政拨款收入总计3,369.34万元，</w:t>
      </w:r>
      <w:r>
        <w:rPr>
          <w:rFonts w:ascii="仿宋_GB2312" w:hAnsi="仿宋_GB2312" w:eastAsia="仿宋_GB2312"/>
          <w:b w:val="0"/>
          <w:sz w:val="32"/>
        </w:rPr>
        <w:t>其中：年初财政拨款结转和结余0.00万元，本年财政拨款收入3,369.34万元。</w:t>
      </w:r>
      <w:r>
        <w:rPr>
          <w:rFonts w:ascii="仿宋_GB2312" w:hAnsi="仿宋_GB2312" w:eastAsia="仿宋_GB2312"/>
          <w:b/>
          <w:sz w:val="32"/>
        </w:rPr>
        <w:t>财政拨款支出总计3,369.34万元，</w:t>
      </w:r>
      <w:r>
        <w:rPr>
          <w:rFonts w:ascii="仿宋_GB2312" w:hAnsi="仿宋_GB2312" w:eastAsia="仿宋_GB2312"/>
          <w:b w:val="0"/>
          <w:sz w:val="32"/>
        </w:rPr>
        <w:t>其中：年末财政拨款结转和结余0.00万元，本年财政拨款支出3,369.34万元。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增加194.90万元，增长6.14%，主要原因是：一是本年在职人员增加，在职人员工资调增，社保、公积金基数调增，人员经费增加；二是本年学生人数增加，公用经费项目资金增加。</w:t>
      </w:r>
      <w:r>
        <w:rPr>
          <w:rFonts w:ascii="仿宋_GB2312" w:hAnsi="仿宋_GB2312" w:eastAsia="仿宋_GB2312"/>
          <w:b/>
          <w:sz w:val="32"/>
        </w:rPr>
        <w:t>与年初预算相比，</w:t>
      </w:r>
      <w:r>
        <w:rPr>
          <w:rFonts w:ascii="仿宋_GB2312" w:hAnsi="仿宋_GB2312" w:eastAsia="仿宋_GB2312"/>
          <w:b w:val="0"/>
          <w:sz w:val="32"/>
        </w:rPr>
        <w:t>年初预算数3,338.50万元，决算数3,369.34万元，预决算差异率0.92%，主要原因是：年中追加人员工资、社保、公积金基数调增部分资金，导致预决算存在差异。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2024年度一般公共预算财政拨款支出3,369.34万元，</w:t>
      </w:r>
      <w:r>
        <w:rPr>
          <w:rFonts w:ascii="仿宋_GB2312" w:hAnsi="仿宋_GB2312" w:eastAsia="仿宋_GB2312"/>
          <w:b w:val="0"/>
          <w:sz w:val="32"/>
        </w:rPr>
        <w:t>占本年支出合计的99.95%。</w:t>
      </w:r>
      <w:r>
        <w:rPr>
          <w:rFonts w:ascii="仿宋_GB2312" w:hAnsi="仿宋_GB2312" w:eastAsia="仿宋_GB2312"/>
          <w:b/>
          <w:sz w:val="32"/>
        </w:rPr>
        <w:t>与上年相比，</w:t>
      </w:r>
      <w:r>
        <w:rPr>
          <w:rFonts w:ascii="仿宋_GB2312" w:hAnsi="仿宋_GB2312" w:eastAsia="仿宋_GB2312"/>
          <w:b w:val="0"/>
          <w:sz w:val="32"/>
        </w:rPr>
        <w:t>增加194.90万元，增长6.14%，主要原因是：一是本年在职人员增加，在职人员工资调增，社保、公积金基数调增，人员经费增加；二是本年学生人数增加，公用经费项目资金增加。</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年初预算数3,338.50万元，决算数3,369.34万元，预决算差异率0.92%，主要原因是：年中追加人员工资、社保、公积金基数调增部分资金，导致预决算存在差异。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1.教育支出(类)3,369.34万元</w:t>
      </w:r>
      <w:r>
        <w:rPr>
          <w:rFonts w:hint="eastAsia" w:ascii="仿宋_GB2312" w:hAnsi="仿宋_GB2312" w:eastAsia="仿宋_GB2312"/>
          <w:b w:val="0"/>
          <w:sz w:val="32"/>
          <w:lang w:eastAsia="zh-CN"/>
        </w:rPr>
        <w:t>，</w:t>
      </w:r>
      <w:r>
        <w:rPr>
          <w:rFonts w:ascii="仿宋_GB2312" w:hAnsi="仿宋_GB2312" w:eastAsia="仿宋_GB2312"/>
          <w:b w:val="0"/>
          <w:sz w:val="32"/>
        </w:rPr>
        <w:t>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支出决算数为3,369.34万元，比上年决算增加750.03万元，增长28.63%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主要原因是：本年机关事业单位基本养老保险缴费支出、机关事业单位职业年金缴费支出、死亡抚恤、住房公积金</w:t>
      </w:r>
      <w:r>
        <w:rPr>
          <w:rFonts w:hint="eastAsia" w:ascii="仿宋_GB2312" w:hAnsi="仿宋_GB2312" w:eastAsia="仿宋_GB2312"/>
          <w:b w:val="0"/>
          <w:sz w:val="32"/>
          <w:lang w:val="en-US" w:eastAsia="zh-CN"/>
        </w:rPr>
        <w:t>上年单独列支，本年</w:t>
      </w:r>
      <w:r>
        <w:rPr>
          <w:rFonts w:ascii="仿宋_GB2312" w:hAnsi="仿宋_GB2312" w:eastAsia="仿宋_GB2312"/>
          <w:b w:val="0"/>
          <w:sz w:val="32"/>
        </w:rPr>
        <w:t>调整至小学教育款项填列，支出决算数较上年增加。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支出决算数为0.00万元，比上年决算减少266.47万元，下降100.00%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主要原因是：本年机关事业单位基本养老保险缴费支出调整至小学教育款项填列，支出决算数较上年减少。</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支出决算数为0.00万元，比上年决算减少37.58万元，下降100.00%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主要原因是：本年机关事业单位职业年金缴费支出调整至小学教育款项填列，支出决算数较上年减少。</w:t>
      </w:r>
    </w:p>
    <w:p>
      <w:pPr>
        <w:spacing w:line="580" w:lineRule="exact"/>
        <w:ind w:firstLine="640"/>
        <w:jc w:val="both"/>
      </w:pPr>
      <w:r>
        <w:rPr>
          <w:rFonts w:ascii="仿宋_GB2312" w:hAnsi="仿宋_GB2312" w:eastAsia="仿宋_GB2312"/>
          <w:b w:val="0"/>
          <w:sz w:val="32"/>
        </w:rPr>
        <w:t>4.社会保障和就业支出(类)抚恤(款)死亡抚恤(项)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支出决算数为0.00万元，比上年决算减少25.82万元，下降100.00%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主要原因是：本年死亡抚恤调整至小学教育款项填列，支出决算数较上年减少。</w:t>
      </w:r>
    </w:p>
    <w:p>
      <w:pPr>
        <w:spacing w:line="580" w:lineRule="exact"/>
        <w:ind w:firstLine="640"/>
        <w:jc w:val="both"/>
      </w:pPr>
      <w:r>
        <w:rPr>
          <w:rFonts w:ascii="仿宋_GB2312" w:hAnsi="仿宋_GB2312" w:eastAsia="仿宋_GB2312"/>
          <w:b w:val="0"/>
          <w:sz w:val="32"/>
        </w:rPr>
        <w:t>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支出决算数为0.00万元，比上年决算减少225.26万元，下降100.00%</w:t>
      </w:r>
      <w:r>
        <w:rPr>
          <w:rFonts w:hint="eastAsia" w:ascii="仿宋_GB2312" w:hAnsi="仿宋_GB2312" w:eastAsia="仿宋_GB2312"/>
          <w:b w:val="0"/>
          <w:sz w:val="32"/>
          <w:lang w:eastAsia="zh-CN"/>
        </w:rPr>
        <w:t>，</w:t>
      </w:r>
      <w:r>
        <w:rPr>
          <w:rFonts w:ascii="仿宋_GB2312" w:hAnsi="仿宋_GB2312" w:eastAsia="仿宋_GB2312"/>
          <w:b w:val="0"/>
          <w:sz w:val="32"/>
        </w:rPr>
        <w:t>主要原因是：本年住房公积金调整至小学教育款项填列，支出决算数较上年减少。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2024年度一般公共预算财政拨款基本支出3,252.62万元，其中：</w:t>
      </w:r>
      <w:r>
        <w:rPr>
          <w:rFonts w:ascii="仿宋_GB2312" w:hAnsi="仿宋_GB2312" w:eastAsia="仿宋_GB2312"/>
          <w:b/>
          <w:sz w:val="32"/>
        </w:rPr>
        <w:t>人员经费3,211.63万元，</w:t>
      </w:r>
      <w:r>
        <w:rPr>
          <w:rFonts w:ascii="仿宋_GB2312" w:hAnsi="仿宋_GB2312" w:eastAsia="仿宋_GB2312"/>
          <w:b w:val="0"/>
          <w:sz w:val="32"/>
        </w:rPr>
        <w:t>包括：基本工资、津贴补贴、奖金、绩效工资、机关事业单位基本养老保险缴费、职业年金缴费、职工基本医疗保险缴费、其他社会保障缴费、住房公积金、退休费、抚恤金、生活补助、其他对个人和家庭的补助。</w:t>
      </w:r>
    </w:p>
    <w:p>
      <w:pPr>
        <w:spacing w:line="580" w:lineRule="exact"/>
        <w:ind w:firstLine="640"/>
        <w:jc w:val="both"/>
      </w:pPr>
      <w:r>
        <w:rPr>
          <w:rFonts w:ascii="仿宋_GB2312" w:hAnsi="仿宋_GB2312" w:eastAsia="仿宋_GB2312"/>
          <w:b/>
          <w:sz w:val="32"/>
        </w:rPr>
        <w:t>公用经费40.99万元，</w:t>
      </w:r>
      <w:r>
        <w:rPr>
          <w:rFonts w:ascii="仿宋_GB2312" w:hAnsi="仿宋_GB2312" w:eastAsia="仿宋_GB2312"/>
          <w:b w:val="0"/>
          <w:sz w:val="32"/>
        </w:rPr>
        <w:t>包括：取暖费。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本单位1辆业务用车，借用阿图什市教育局使用，车辆费用由使用单位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2024年度阿图什市昆山第二小学（事业单位）公用经费支出40.99万元，比上年减少0.35万元，下降0.85%，主要原因是：严格控制公用经费，合理节约办公用品，减少不必要开支。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2024年度政府采购支出总额43.17万元，其中：政府采购货物支出33.16万元、政府采购工程支出6.30万元、政府采购服务支出3.70万元。</w:t>
      </w:r>
    </w:p>
    <w:p>
      <w:pPr>
        <w:spacing w:line="580" w:lineRule="exact"/>
        <w:ind w:firstLine="640"/>
        <w:jc w:val="both"/>
      </w:pPr>
      <w:r>
        <w:rPr>
          <w:rFonts w:ascii="仿宋_GB2312" w:hAnsi="仿宋_GB2312" w:eastAsia="仿宋_GB2312"/>
          <w:b w:val="0"/>
          <w:sz w:val="32"/>
        </w:rPr>
        <w:t>授予中小企业合同金额40.63万元，占政府采购支出总额的94.12%，其中：授予小微企业合同金额35.48万元，占政府采购支出总额的82.19%。</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21,863.00平方米，价值6,484.85万元。车辆1辆，价值4.50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3,385.17万元，实际执行总额3,370.86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tblPrEx>
          <w:tblCellMar>
            <w:top w:w="0" w:type="dxa"/>
            <w:left w:w="108" w:type="dxa"/>
            <w:bottom w:w="0" w:type="dxa"/>
            <w:right w:w="108" w:type="dxa"/>
          </w:tblCellMar>
        </w:tblPrEx>
        <w:tc>
          <w:tcPr>
            <w:tcW w:w="8840" w:type="dxa"/>
            <w:gridSpan w:val="8"/>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rPr>
          <w:trHeight w:val="300" w:hRule="atLeast"/>
        </w:trPr>
        <w:tc>
          <w:tcPr>
            <w:tcW w:w="8840" w:type="dxa"/>
            <w:gridSpan w:val="8"/>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阿图什市昆山第二小学</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3,208.97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3,385.17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3,370.86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99.58%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eastAsia="宋体"/>
                <w:sz w:val="16"/>
              </w:rPr>
              <w:t>9.96</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115.84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115.84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3,208.97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3,269.33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3,255.02</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br w:type="textWrapping"/>
            </w:r>
            <w:r>
              <w:rPr>
                <w:rFonts w:ascii="宋体" w:hAnsi="宋体" w:eastAsia="宋体"/>
                <w:sz w:val="16"/>
              </w:rPr>
              <w:t>机构设置及人员配置：无下属预算单位，下设5个科室，编制数112，实有人数284人，在职174人，退休110人。</w:t>
            </w:r>
            <w:r>
              <w:rPr>
                <w:rFonts w:ascii="宋体" w:hAnsi="宋体" w:eastAsia="宋体"/>
                <w:sz w:val="16"/>
              </w:rPr>
              <w:br w:type="textWrapping"/>
            </w:r>
            <w:r>
              <w:rPr>
                <w:rFonts w:ascii="宋体" w:hAnsi="宋体" w:eastAsia="宋体"/>
                <w:sz w:val="16"/>
              </w:rPr>
              <w:t>中长期规划：以</w:t>
            </w:r>
            <w:bookmarkStart w:id="0" w:name="_GoBack"/>
            <w:bookmarkEnd w:id="0"/>
            <w:r>
              <w:rPr>
                <w:rFonts w:ascii="宋体" w:hAnsi="宋体" w:eastAsia="宋体"/>
                <w:sz w:val="16"/>
              </w:rPr>
              <w:t>新时代中国特色社会主义思想为指导，牢记立德树人初心使命，以新时代教育人的责任担当坚持为党育人、为国育才的初衷，大力实施党建引领教育教学工程，用心用情办好人民满意的教育，着力打造“让党放心、人民满意”的模范学校。</w:t>
            </w:r>
            <w:r>
              <w:rPr>
                <w:rFonts w:ascii="宋体" w:hAnsi="宋体" w:eastAsia="宋体"/>
                <w:sz w:val="16"/>
              </w:rPr>
              <w:br w:type="textWrapping"/>
            </w:r>
            <w:r>
              <w:rPr>
                <w:rFonts w:ascii="宋体" w:hAnsi="宋体" w:eastAsia="宋体"/>
                <w:sz w:val="16"/>
              </w:rPr>
              <w:t xml:space="preserve">  保障单位在职174人的工资福利及各项补助正常发放及部门正常运转</w:t>
            </w:r>
            <w:r>
              <w:rPr>
                <w:rFonts w:hint="eastAsia" w:ascii="宋体" w:hAnsi="宋体"/>
                <w:sz w:val="16"/>
                <w:lang w:eastAsia="zh-CN"/>
              </w:rPr>
              <w:t>，</w:t>
            </w:r>
            <w:r>
              <w:rPr>
                <w:rFonts w:ascii="宋体" w:hAnsi="宋体" w:eastAsia="宋体"/>
                <w:sz w:val="16"/>
              </w:rPr>
              <w:t>保障单位预算项目按计划实施，便于开展检查指导学习各级各类学校工作，对全校教师开展培训工作，提高教学能力，提高支教教师幸福感、归属感，积极开展校园文化建设，培养学生身心全面发展。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 xml:space="preserve">本单位共计支出3370.86万元，用于保障部门在职174人，退休110人的工资福利、各项补助正常发放及部门单位正常运转，单位预算项目根据年初计划均已完成，开展检查指导学习各级各类学校工作，对全校教师开展培训工作，提高教学能力，提高教师幸福感、归属感，积极开展校园文化建设，培养学生身心全面发展，年度任务中完成法制教育课和安全知识讲座54次，教师培训人数56人，保障单位正常运转期限12个月等目标。 </w:t>
            </w:r>
            <w:r>
              <w:rPr>
                <w:rFonts w:ascii="宋体" w:hAnsi="宋体" w:eastAsia="宋体"/>
                <w:sz w:val="16"/>
              </w:rPr>
              <w:br w:type="textWrapping"/>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rPr>
          <w:trHeight w:val="487" w:hRule="atLeast"/>
        </w:trPr>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法制教育课和安全知识讲座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&gt;=56人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56人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保障单位正常运转期限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教学常规工作考核合格率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r>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962EA3D-C76A-482B-9EAF-E10F9010F661}"/>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embedRegular r:id="rId2" w:fontKey="{104324DD-714C-473B-BEBF-4288A8171696}"/>
  </w:font>
  <w:font w:name="仿宋_GB2312">
    <w:panose1 w:val="02010609030101010101"/>
    <w:charset w:val="86"/>
    <w:family w:val="modern"/>
    <w:pitch w:val="default"/>
    <w:sig w:usb0="00000001" w:usb1="080E0000" w:usb2="00000000" w:usb3="00000000" w:csb0="00040000" w:csb1="00000000"/>
    <w:embedRegular r:id="rId3" w:fontKey="{101C66B7-5E32-468A-9D79-6CE2461DFD3E}"/>
  </w:font>
  <w:font w:name="楷体_GB2312">
    <w:altName w:val="楷体"/>
    <w:panose1 w:val="00000000000000000000"/>
    <w:charset w:val="00"/>
    <w:family w:val="auto"/>
    <w:pitch w:val="default"/>
    <w:sig w:usb0="00000000" w:usb1="00000000" w:usb2="00000000" w:usb3="00000000" w:csb0="00000000" w:csb1="00000000"/>
    <w:embedRegular r:id="rId4" w:fontKey="{1F57CFEE-9451-4220-869B-6A40894AFB35}"/>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673AA2"/>
    <w:rsid w:val="0C7227A7"/>
    <w:rsid w:val="0DCA6EF7"/>
    <w:rsid w:val="0E4B1576"/>
    <w:rsid w:val="0EA04331"/>
    <w:rsid w:val="0F61002F"/>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D700734"/>
    <w:rsid w:val="4F3F074E"/>
    <w:rsid w:val="50DB5F45"/>
    <w:rsid w:val="52F92565"/>
    <w:rsid w:val="543D17CB"/>
    <w:rsid w:val="55DA564E"/>
    <w:rsid w:val="56E07045"/>
    <w:rsid w:val="583059FA"/>
    <w:rsid w:val="583E0FCC"/>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88F1E95"/>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5313</Words>
  <Characters>6094</Characters>
  <Lines>0</Lines>
  <Paragraphs>0</Paragraphs>
  <TotalTime>3</TotalTime>
  <ScaleCrop>false</ScaleCrop>
  <LinksUpToDate>false</LinksUpToDate>
  <CharactersWithSpaces>6106</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2024-07-22T11:58:00Z</cp:lastPrinted>
  <dcterms:modified xsi:type="dcterms:W3CDTF">2025-09-14T05:08:28Z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