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阿图什市第十五幼儿园2024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2.维护学校的教学秩序，为学生创造良好的学习环境。</w:t>
      </w:r>
    </w:p>
    <w:p>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ascii="仿宋_GB2312" w:hAnsi="仿宋_GB2312" w:eastAsia="仿宋_GB2312"/>
          <w:sz w:val="32"/>
        </w:rPr>
        <w:t>4.根据学校规模，设置学校管理机构，建立健全各项规章制度和岗位责任制。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5.坚持教书育人，服务育人，环境育人方针，加强对学生思想品德教育，使学生的德智体全面发展。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580" w:lineRule="exact"/>
        <w:ind w:firstLine="640"/>
        <w:jc w:val="both"/>
      </w:pPr>
      <w:r>
        <w:rPr>
          <w:rFonts w:ascii="仿宋_GB2312" w:hAnsi="仿宋_GB2312" w:eastAsia="仿宋_GB2312"/>
          <w:sz w:val="32"/>
        </w:rPr>
        <w:t>7.做好安全防范，保证学生的人身安全。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阿图什市第十五幼儿园2024年度，实有人数82人，其中：在职人员23人，减少2人；离休人员0人，增加0人；退休人员59人,增加0人。</w:t>
      </w:r>
    </w:p>
    <w:p>
      <w:pPr>
        <w:spacing w:line="580" w:lineRule="exact"/>
        <w:ind w:firstLine="640"/>
        <w:jc w:val="both"/>
      </w:pPr>
      <w:r>
        <w:rPr>
          <w:rFonts w:ascii="仿宋_GB2312" w:hAnsi="仿宋_GB2312" w:eastAsia="仿宋_GB2312"/>
          <w:sz w:val="32"/>
        </w:rPr>
        <w:t>阿图什市第十五幼儿园无下属预算单位，下设2个科室，分别是：办公室、财务室。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2024年度收入总计523.03万元，</w:t>
      </w:r>
      <w:r>
        <w:rPr>
          <w:rFonts w:ascii="仿宋_GB2312" w:hAnsi="仿宋_GB2312" w:eastAsia="仿宋_GB2312"/>
          <w:b w:val="0"/>
          <w:sz w:val="32"/>
        </w:rPr>
        <w:t>其中：本年收入合计518.24万元，使用非财政拨款结余（含专用结余）0.00万元，年初结转和结余4.79万元。</w:t>
      </w:r>
    </w:p>
    <w:p>
      <w:pPr>
        <w:spacing w:line="580" w:lineRule="exact"/>
        <w:ind w:firstLine="640"/>
        <w:jc w:val="both"/>
      </w:pPr>
      <w:r>
        <w:rPr>
          <w:rFonts w:ascii="仿宋_GB2312" w:hAnsi="仿宋_GB2312" w:eastAsia="仿宋_GB2312"/>
          <w:b/>
          <w:sz w:val="32"/>
        </w:rPr>
        <w:t>2024年度支出总计523.03万元，</w:t>
      </w:r>
      <w:r>
        <w:rPr>
          <w:rFonts w:ascii="仿宋_GB2312" w:hAnsi="仿宋_GB2312" w:eastAsia="仿宋_GB2312"/>
          <w:b w:val="0"/>
          <w:sz w:val="32"/>
        </w:rPr>
        <w:t>其中：本年支出合计518.35万元，结余分配0.00万元，年末结转和结余4.68万元。</w:t>
      </w:r>
    </w:p>
    <w:p>
      <w:pPr>
        <w:spacing w:line="580" w:lineRule="exact"/>
        <w:ind w:firstLine="640"/>
        <w:jc w:val="both"/>
      </w:pPr>
      <w:r>
        <w:rPr>
          <w:rFonts w:ascii="仿宋_GB2312" w:hAnsi="仿宋_GB2312" w:eastAsia="仿宋_GB2312"/>
          <w:b w:val="0"/>
          <w:sz w:val="32"/>
        </w:rPr>
        <w:t>收入支出总体与上年相比，减少14.72万元，下降2.74%，主要原因是：本年在职人员减少，相关人员经费较上年减少。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本年收入518.24万元，</w:t>
      </w:r>
      <w:r>
        <w:rPr>
          <w:rFonts w:ascii="仿宋_GB2312" w:hAnsi="仿宋_GB2312" w:eastAsia="仿宋_GB2312"/>
          <w:b w:val="0"/>
          <w:sz w:val="32"/>
        </w:rPr>
        <w:t>其中：财政拨款收入518.15万元，占99.98%；上级补助收入0.00万元，占0.00%；事业收入0.00万元，占0.00%；经营收入0.00万元，占0.00%；附属单位上缴收入0.00万元，占0.00%；其他收入0.09万元，占0.02%。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本年支出518.35万元，</w:t>
      </w:r>
      <w:r>
        <w:rPr>
          <w:rFonts w:ascii="仿宋_GB2312" w:hAnsi="仿宋_GB2312" w:eastAsia="仿宋_GB2312"/>
          <w:b w:val="0"/>
          <w:sz w:val="32"/>
        </w:rPr>
        <w:t>其中：基本支出504.31万元，占97.29%；项目支出14.05万元，占2.71%；上缴上级支出0.00万元，占0.00%；经营支出0.00万元，占0.00%；对附属单位补助支出0.00万元，占0.00%。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2024年度财政拨款收入总计518.15万元，</w:t>
      </w:r>
      <w:r>
        <w:rPr>
          <w:rFonts w:ascii="仿宋_GB2312" w:hAnsi="仿宋_GB2312" w:eastAsia="仿宋_GB2312"/>
          <w:b w:val="0"/>
          <w:sz w:val="32"/>
        </w:rPr>
        <w:t>其中：年初财政拨款结转和结余0.00万元，本年财政拨款收入518.15万元。</w:t>
      </w:r>
      <w:r>
        <w:rPr>
          <w:rFonts w:ascii="仿宋_GB2312" w:hAnsi="仿宋_GB2312" w:eastAsia="仿宋_GB2312"/>
          <w:b/>
          <w:sz w:val="32"/>
        </w:rPr>
        <w:t>财政拨款支出总计518.15万元，</w:t>
      </w:r>
      <w:r>
        <w:rPr>
          <w:rFonts w:ascii="仿宋_GB2312" w:hAnsi="仿宋_GB2312" w:eastAsia="仿宋_GB2312"/>
          <w:b w:val="0"/>
          <w:sz w:val="32"/>
        </w:rPr>
        <w:t>其中：年末财政拨款结转和结余0.00万元，本年财政拨款支出518.15万元。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增加17.82万元，增长3.56%，主要原因是：本年在职人员工资调增，社保、公积金基数调增，人员经费增加。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年初预算数552.83万元，决算数518.15万元，预决算差异率-6.27%，主要原因是：本年在职人员减少，年中调减人员经费，导致预决算存在差异。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2024年度一般公共预算财政拨款支出518.15万元，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增加17.82万元，增长3.56%，主要原因是：本年在职人员工资调增，社保、公积金基数调增，人员经费增加。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年初预算数552.83万元，决算数518.15万元，预决算差异率-6.27%，主要原因是：本年在职人员减少，年中调减人员经费，导致预决算存在差异。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1.教育支出(类)498.31万元,占96.17%。</w:t>
      </w:r>
    </w:p>
    <w:p>
      <w:pPr>
        <w:spacing w:line="580" w:lineRule="exact"/>
        <w:ind w:firstLine="640"/>
        <w:jc w:val="both"/>
      </w:pPr>
      <w:r>
        <w:rPr>
          <w:rFonts w:ascii="仿宋_GB2312" w:hAnsi="仿宋_GB2312" w:eastAsia="仿宋_GB2312"/>
          <w:b w:val="0"/>
          <w:sz w:val="32"/>
        </w:rPr>
        <w:t>2.社会保障和就业支出(类)19.84万元,占3.83%。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484.47万元，比上年决算增加84.65万元，增长21.17%,主要原因是：本年在职人员工资调增，社保、公积金基数调增，人员经费增加。机关事业单位基本养老保险缴费支出，住房公积金上年单独列支，本年调整至主科目列支，导致经费增加。</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13.84万元，比上年决算增加13.84万元，增长100.00%,主要原因是：本年科目调整，保教费支出上年度在主科目列支，本年单独列支，导致经费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37.90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8.10万元，比上年决算减少3.96万元，下降32.84%,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5.社会保障和就业支出(类)抚恤(款)死亡抚恤(项):支出决算数为11.73万元，比上年决算减少6.31万元，下降34.98%,主要原因是：本年</w:t>
      </w:r>
      <w:r>
        <w:rPr>
          <w:rFonts w:hint="eastAsia" w:ascii="仿宋_GB2312" w:hAnsi="仿宋_GB2312" w:eastAsia="仿宋_GB2312"/>
          <w:b w:val="0"/>
          <w:sz w:val="32"/>
          <w:lang w:eastAsia="zh-CN"/>
        </w:rPr>
        <w:t>去世</w:t>
      </w:r>
      <w:r>
        <w:rPr>
          <w:rFonts w:ascii="仿宋_GB2312" w:hAnsi="仿宋_GB2312" w:eastAsia="仿宋_GB2312"/>
          <w:b w:val="0"/>
          <w:sz w:val="32"/>
        </w:rPr>
        <w:t>人员较上年减少，抚恤</w:t>
      </w:r>
      <w:r>
        <w:rPr>
          <w:rFonts w:hint="eastAsia" w:ascii="仿宋_GB2312" w:hAnsi="仿宋_GB2312" w:eastAsia="仿宋_GB2312"/>
          <w:b w:val="0"/>
          <w:sz w:val="32"/>
          <w:lang w:eastAsia="zh-CN"/>
        </w:rPr>
        <w:t>金</w:t>
      </w:r>
      <w:r>
        <w:rPr>
          <w:rFonts w:ascii="仿宋_GB2312" w:hAnsi="仿宋_GB2312" w:eastAsia="仿宋_GB2312"/>
          <w:b w:val="0"/>
          <w:sz w:val="32"/>
        </w:rPr>
        <w:t>支出较上年减少。</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32.50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2024年度一般公共预算财政拨款基本支出504.31万元，其中：</w:t>
      </w:r>
      <w:r>
        <w:rPr>
          <w:rFonts w:ascii="仿宋_GB2312" w:hAnsi="仿宋_GB2312" w:eastAsia="仿宋_GB2312"/>
          <w:b/>
          <w:sz w:val="32"/>
        </w:rPr>
        <w:t>人员经费502.42万元，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包括：基本工资、津贴补贴、奖金、机关事业单位基本养老保险缴费、职业年金缴费、职工基本医疗保险缴费、其他社会保障缴费、住房公积金、退休费、抚恤金。</w:t>
      </w:r>
    </w:p>
    <w:p>
      <w:pPr>
        <w:spacing w:line="580" w:lineRule="exact"/>
        <w:ind w:firstLine="640"/>
        <w:jc w:val="both"/>
      </w:pPr>
      <w:r>
        <w:rPr>
          <w:rFonts w:ascii="仿宋_GB2312" w:hAnsi="仿宋_GB2312" w:eastAsia="仿宋_GB2312"/>
          <w:b/>
          <w:sz w:val="32"/>
        </w:rPr>
        <w:t>公用经费1.88万元，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2024年度阿图什市第十五幼儿园（事业单位）公用经费支出1.88万元，比上年减少6.83万元，下降78.42%，主要原因是：严格执行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2024年度政府采购支出总额5.48万元，其中：政府采购货物支出3.57万元、政府采购工程支出0.92万元、政府采购服务支出1.00万元。</w:t>
      </w:r>
    </w:p>
    <w:p>
      <w:pPr>
        <w:spacing w:line="580" w:lineRule="exact"/>
        <w:ind w:firstLine="640"/>
        <w:jc w:val="both"/>
      </w:pPr>
      <w:r>
        <w:rPr>
          <w:rFonts w:ascii="仿宋_GB2312" w:hAnsi="仿宋_GB2312" w:eastAsia="仿宋_GB2312"/>
          <w:b w:val="0"/>
          <w:sz w:val="32"/>
        </w:rPr>
        <w:t>授予中小企业合同金额5.48万元，占政府采购支出总额的100.00%，其中：授予小微企业合同金额5.48万元，占政府采购支出总额的100.00%。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523.03万元，实际执行总额518.35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阿图什市第十五幼儿园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552.84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523.03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9.91</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552.84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523.03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7.做好安全防范，保证学生的人身安全。 </w:t>
            </w:r>
            <w:r>
              <w:rPr>
                <w:rFonts w:ascii="宋体" w:hAnsi="宋体" w:eastAsia="宋体"/>
                <w:sz w:val="16"/>
              </w:rPr>
              <w:br w:type="textWrapping"/>
            </w:r>
            <w:r>
              <w:rPr>
                <w:rFonts w:ascii="宋体" w:hAnsi="宋体" w:eastAsia="宋体"/>
                <w:sz w:val="16"/>
              </w:rPr>
              <w:t xml:space="preserve">编制情况：下设3个处室，单位编制数18人，实有人数84人，在职25人，退休59人。 </w:t>
            </w:r>
            <w:r>
              <w:rPr>
                <w:rFonts w:ascii="宋体" w:hAnsi="宋体" w:eastAsia="宋体"/>
                <w:sz w:val="16"/>
              </w:rPr>
              <w:br w:type="textWrapping"/>
            </w:r>
            <w:r>
              <w:rPr>
                <w:rFonts w:ascii="宋体" w:hAnsi="宋体" w:eastAsia="宋体"/>
                <w:sz w:val="16"/>
              </w:rPr>
              <w:t>中长期规划：从幼儿园发展规划及教师的实际出发,坚持师资队伍建设发展的原则,加大教师培养力度,打造新一轮教师发展梯队,整体提高幼儿园教师的师德师能水平,建设一支业务水平高、专业素质强的</w:t>
            </w:r>
            <w:bookmarkStart w:id="0" w:name="_GoBack"/>
            <w:bookmarkEnd w:id="0"/>
            <w:r>
              <w:rPr>
                <w:rFonts w:ascii="宋体" w:hAnsi="宋体" w:eastAsia="宋体"/>
                <w:sz w:val="16"/>
              </w:rPr>
              <w:t xml:space="preserve">教师队伍。提高幼儿园的管理模式和教育质量，壮大师资团队，创建疆内高品质、有特色、创一流的幼儿园。 </w:t>
            </w:r>
            <w:r>
              <w:rPr>
                <w:rFonts w:ascii="宋体" w:hAnsi="宋体" w:eastAsia="宋体"/>
                <w:sz w:val="16"/>
              </w:rPr>
              <w:br w:type="textWrapping"/>
            </w:r>
            <w:r>
              <w:rPr>
                <w:rFonts w:ascii="宋体" w:hAnsi="宋体" w:eastAsia="宋体"/>
                <w:sz w:val="16"/>
              </w:rPr>
              <w:t xml:space="preserve">  保障部门在职25人，退休59人的各项工资福利补助正常发放及部门正常运转。通过开展丰富多彩的师德教育活动，促进教师师德水平的提高。积极探索新形势下师德建设的新途径，努力提高师德建设的质量和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518.35万元，用于保障部门在职25人，退休59人的工资福利、各项补助正常发放及部门单位正常运转，单位预算项目根据年初计划均已完成，开展丰富多彩的师德教育活动，促进教师师德水平的提高，积极探索新形势下师德建设的新途径，努力提高师德建设的质量和水平，年度任务中完成开展各类安全教育工作35次，教师教育学习人数25人，保障单位日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财务管理制度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D8736EF-74A9-4482-9670-F9F4813076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BB2ABDAB-BE19-4750-ADF8-F3B3FF973810}"/>
  </w:font>
  <w:font w:name="仿宋_GB2312">
    <w:panose1 w:val="02010609030101010101"/>
    <w:charset w:val="86"/>
    <w:family w:val="modern"/>
    <w:pitch w:val="default"/>
    <w:sig w:usb0="00000001" w:usb1="080E0000" w:usb2="00000000" w:usb3="00000000" w:csb0="00040000" w:csb1="00000000"/>
    <w:embedRegular r:id="rId3" w:fontKey="{FDDB7A13-CDF9-4F07-8C2B-0D23D5223E7F}"/>
  </w:font>
  <w:font w:name="楷体_GB2312">
    <w:panose1 w:val="02010609030101010101"/>
    <w:charset w:val="86"/>
    <w:family w:val="auto"/>
    <w:pitch w:val="default"/>
    <w:sig w:usb0="00000001" w:usb1="080E0000" w:usb2="00000000" w:usb3="00000000" w:csb0="00040000" w:csb1="00000000"/>
    <w:embedRegular r:id="rId4" w:fontKey="{2E2A801B-2707-4571-B2FA-D4D9CF8D3F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1B5ECF"/>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5A11B0"/>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CB0A96"/>
    <w:rsid w:val="40834692"/>
    <w:rsid w:val="423A32B2"/>
    <w:rsid w:val="423C0CB4"/>
    <w:rsid w:val="427B5743"/>
    <w:rsid w:val="42E64542"/>
    <w:rsid w:val="464B7E04"/>
    <w:rsid w:val="464F7E64"/>
    <w:rsid w:val="46901EEE"/>
    <w:rsid w:val="469C74D2"/>
    <w:rsid w:val="47445515"/>
    <w:rsid w:val="4B4C0111"/>
    <w:rsid w:val="4BB23021"/>
    <w:rsid w:val="4F3F074E"/>
    <w:rsid w:val="50DB5F45"/>
    <w:rsid w:val="51515E6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2B29DB"/>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3991</Words>
  <Characters>4597</Characters>
  <Lines>0</Lines>
  <Paragraphs>0</Paragraphs>
  <TotalTime>8</TotalTime>
  <ScaleCrop>false</ScaleCrop>
  <LinksUpToDate>false</LinksUpToDate>
  <CharactersWithSpaces>4605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2025-09-19T08:25:17Z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